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https://www.autoritedelaconcurrence.fr/fr/decision-de-controle-des-concentrations/relative-la-prise-de-controle-exclusif-par-la-societe-thai</w:t>
      </w:r>
    </w:p>
    <w:p>
      <w:r>
        <w:t>Pages translated : 4</w:t>
      </w:r>
    </w:p>
    <w:p/>
    <w:p>
      <w:r>
        <w:rPr>
          <w:b/>
        </w:rPr>
        <w:t>[Pages 1–3]</w:t>
      </w:r>
    </w:p>
    <w:p>
      <w:r>
        <w:t xml:space="preserve">FRENCH REPUBLIC  </w:t>
        <w:br/>
        <w:t xml:space="preserve">Decision No. 14-DCC-159 of October 29, 2014  </w:t>
        <w:br/>
        <w:t>regarding the exclusive control by Thai Union France Holding 2 of the company Européenne de la Mer</w:t>
      </w:r>
    </w:p>
    <w:p>
      <w:r>
        <w:t xml:space="preserve">The Competition Authority,  </w:t>
        <w:br/>
        <w:t xml:space="preserve">Having regard to the notification file submitted in full to the merger service on September 25, 2014, regarding the exclusive control by Thai Union France Holding 2 of the company Européenne de la Mer, formalized by a share transfer agreement dated September 3, 2014;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Thai Union France Holding 2 (hereinafter "TUFH2"), a French subsidiary of the Thai company Thai Union, which is listed on the Bangkok Stock Exchange, markets canned fish in France through the company MW Brands SAS, particularly tuna under the brand Petit Navire and under private label. MW Brands SAS owns four production sites located in France, Portugal, Ghana, and the Seychelles, as well as a fleet of seven tuna purse seiners in Ghana and a supply vessel.  </w:t>
        <w:br/>
        <w:t xml:space="preserve">2. Européenne de la Mer is the parent holding company of the Meralliance group, which primarily manufactures and markets smoked salmon as well as marinated and smoked fish sold in the fresh section, mainly under private label and to a lesser extent, under the Armoric brand.  </w:t>
        <w:br/>
        <w:t>3. The operation, formalized by a share transfer agreement dated September 3, 2014, consists of TUFH2 acquiring 100% of the shares of the company Européenne de la Mer. As it results in the exclusive control of the company Européenne de la Mer by TUFH2, the notified operation constitutes a concentration within the meaning of Article L. 430-1 of the Commercial Code.</w:t>
      </w:r>
    </w:p>
    <w:p>
      <w:r>
        <w:t>4. The companies concerned together achieve a total worldwide turnover excluding tax of more than 150 million euros (Thai Union: [...] euros for the fiscal year ending December 31, 2013; Meralliance: [...] euros for the fiscal year ending March 31, 2014). Each of these companies achieved a turnover in France exceeding 50 million euros (Thai Union: [...] euros for the fiscal year ending December 31, 2013; Meralliance: [...] euros for the fiscal year ending March 31, 2014).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5. Thai Union primarily markets canned fish in France (mainly tuna but also mackerel and sardines), which represent [...] % of its sales. To a more marginal extent, Thai Union also markets the following products: (i) canned fish rillettes (tuna, salmon, mackerel, crab, sardines), (ii) vacuum-packed grilled fish fillets sold in the ambient section (tuna, salmon), (iii) tuna-based salads sold in the ambient section, (iv) frozen seafood products (salmon, tuna, cephalopods, shrimp), (v) Asian products.  </w:t>
        <w:br/>
        <w:t>6. Meralliance primarily markets, accounting for [...] % of its sales, smoked salmon sold in the fresh section. It also markets the following products, all sold in the fresh section: (i) tartares, carpaccio, and sashimi of smoked salmon, (ii) semi-cooked salmon, (iii) other smoked fish.</w:t>
      </w:r>
    </w:p>
    <w:p>
      <w:r>
        <w:t xml:space="preserve">A. PRODUCT MARKETS  </w:t>
        <w:br/>
        <w:t xml:space="preserve">7. Decision-making practice in the seafood sector distinguishes relevant markets based on fish species and then operates further segmentations based on product presentation (fresh, smoked, canned).  </w:t>
        <w:br/>
        <w:t xml:space="preserve">8. Thus, in the maritime fishing and canning sector, decision-making practice1 has identified, regarding canned fish, as many markets as there are products from maritime fishing, and more specifically, a market for canned tuna. Only Thai Union markets tuna and, to a more marginal extent, other canned fish.  </w:t>
        <w:br/>
        <w:t>9. Regarding salmon, French and European decision-making2 has made a distinction between fresh salmon and smoked salmon. Cumulative segmentations have been retained by decision-making practice, between wild salmon and farmed salmon on one hand, and Atlantic salmon and Pacific salmon on the other hand3. Additionally, further segmentations have been considered according to (i) the geographical origin of the salmon (notably Norway, Scotland, Ireland) and (ii) the commercial positioning of the product (existence of a premium segment). Only the target is active in the smoked salmon market.</w:t>
      </w:r>
    </w:p>
    <w:p>
      <w:r>
        <w:t xml:space="preserve">10. In the catering products sector, both European and national decision-making practice4 has segmented the markets based on the manufacturing technology used (canned, frozen, and fresh products). A distinction has also been made between distribution channels (large and medium-sized stores, hereinafter "GMS"), out-of-home catering (hereinafter "RHF"), and food industries. An additional distinction has then been made based on product categories (starters, main dishes, savory pies, household pasta, pasta and sauces, salads, breaded products, snacks, and others). Finally, the question of the possible subdivision of these markets based on their commercial positioning (manufacturer brands (hereinafter "MDF") or private labels (hereinafter "MDD")), distribution methods (self-service or cut-to-order), and the origin of the proposed recipes (traditional, regional, foreign, exotic, etc.)5 has also been raised.  </w:t>
        <w:br/>
        <w:t xml:space="preserve">11. The question of the exact definition of these markets can be left open insofar as, regardless of the segmentation retained, the conclusions of the competitive analysis will remain unchanged.  </w:t>
        <w:br/>
        <w:t>12. In this case, the markets for canned tuna and smoked salmon are primarily concerned by the operation. However, it does not result in any horizontal overlap in these markets, nor in the other activities of the parties. Indeed, Thai Union only markets canned or frozen products while the target only markets products sold in the fresh section. Therefore, the competitive analysis will be limited to conglomerate effects.</w:t>
      </w:r>
    </w:p>
    <w:p>
      <w:r>
        <w:t xml:space="preserve">B. GEOGRAPHICAL DELIMITATION  </w:t>
        <w:br/>
        <w:t xml:space="preserve">13. National decision-making practice has considered that, by analogy with the markets for the marketing of food retail products, the market for smoked salmon, tuna, and catering products has a national dimension, notably due to the existence of differences in consumer preferences, prices, the strong presence of national brands, and the low volume of imports. There is no reason to challenge this delimitation during the examination of the present operation.  </w:t>
        <w:br/>
        <w:t xml:space="preserve">14. Competition authorities have repeatedly noted the national dimension of catering product markets. Indeed, preferences, tastes, and consumption habits differ significantly from one country to another, and intra-European trade in these products remains limited6. There is no reason to challenge this delimitation during the examination of the present operation.  </w:t>
        <w:br/>
        <w:t xml:space="preserve">3 Id.  </w:t>
        <w:br/>
        <w:t xml:space="preserve">4 See for example the decision of the Competition Authority No. 09-DCC-48 of September 22, 2009, regarding the acquisition by LDC Traiteur of the company Marie.  </w:t>
        <w:br/>
        <w:t xml:space="preserve">5 Id.  </w:t>
        <w:br/>
        <w:t>6 See for example the decision of the Competition Authority No. 09-DCC-48, cited above.</w:t>
      </w:r>
    </w:p>
    <w:p>
      <w:r>
        <w:rPr>
          <w:b/>
        </w:rPr>
        <w:t>[Pages 4–4]</w:t>
      </w:r>
    </w:p>
    <w:p>
      <w:r>
        <w:t xml:space="preserve">III. Competitive Analysis  </w:t>
        <w:br/>
        <w:t xml:space="preserve">15. A concentration has conglomerate effects when the new entity expands or strengthens its presence in several markets whose interconnectedness may allow it to increase its market power. However, it is unlikely that holding a range of products or a portfolio of products will harm competition in one or more markets if the new entity does not have a strong position in a market from which it can leverage an effect.  </w:t>
        <w:br/>
        <w:t xml:space="preserve">16. In the present case, the operation will allow Thai Union to broaden its product range within the seafood sector by including the marketing of smoked salmon and catering products sold in the fresh section.  </w:t>
        <w:br/>
        <w:t xml:space="preserve">17. However, the new entity markets its products to major retail chains that have significant bargaining power. Furthermore, within these different chains, the buyers are not the same for canned products (canned tuna and other products sold by Thai Union) and for products sold in the fresh section (smoked salmon and other products sold by the target). In most chains, there is an additional distinction between buyers of products under private label (MDF) and buyers of products under store brand (MDD). Indeed, as the Authority has repeatedly pointed out, products sold under MDD are subject to tenders, whereas negotiations concerning products sold under MDF are annual and governed by the provisions of Article L. 441-7 of the Commercial Code. In this case, the target primarily markets smoked salmon under MDD while Thai Union primarily markets tuna under MDF.  </w:t>
        <w:br/>
        <w:t xml:space="preserve">18. In the absence of a common interlocutor, due to the dual specialization of distribution between products sold in the fresh section and products sold at ambient temperature as well as between MDD and MDF products, it is unlikely that the new entity will have the capacity or be incentivized to implement tied selling strategies or bundled discounts.  </w:t>
        <w:br/>
        <w:t xml:space="preserve">19. In any event, the notifying party estimates that it represents [20-30]% of the canned tuna market under MDF, and approximately [20-30]% in terms of canned products of other types of fish. Within the MDD segment, the notifying party estimates that Thai Union represents [20-30]% of the canned tuna market and the target [20-30]% of the smoked salmon market. The positions of the parties therefore allow for the dismissal of the risk of implementing a leveraging effect.  </w:t>
        <w:br/>
        <w:t xml:space="preserve">20. Consequently, the present operation is not likely to harm competition through conglomerate effects.  </w:t>
        <w:br/>
        <w:t xml:space="preserve">DECIDES  </w:t>
        <w:br/>
        <w:t xml:space="preserve">Sole Article: The operation notified under number 14-155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