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w:t>
      </w:r>
    </w:p>
    <w:p>
      <w:r>
        <w:t>Pages translated : 4</w:t>
      </w:r>
    </w:p>
    <w:p/>
    <w:p>
      <w:r>
        <w:rPr>
          <w:b/>
        </w:rPr>
        <w:t>[Pages 1–3]</w:t>
      </w:r>
    </w:p>
    <w:p>
      <w:r>
        <w:t xml:space="preserve">FRENCH REPUBLIC  </w:t>
        <w:br/>
        <w:t xml:space="preserve">Decision No. 11-DCC-138 of September 30, 2011  </w:t>
        <w:br/>
        <w:t>regarding the exclusive control by the company Altarea of the company Urbat Promotion</w:t>
      </w:r>
    </w:p>
    <w:p>
      <w:r>
        <w:t xml:space="preserve">The Competition Authority,  </w:t>
        <w:br/>
        <w:t xml:space="preserve">Having regard to the notification file sent to the merger service on August 23, 2011, and declared complete on September 14, 2011, regarding the exclusive control by the company Altarea of the company Urbat Promotion, formalized by a share acquisition protocol concluded on July 29,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Altarea is a limited partnership company listed on Euronext NYSE Paris, whose manager and main shareholder is Mr. Alain Taravella, directly and through the companies Alta Finance 2 and Alta Patrimoine. Altarea heads the Altarea Cogedim group, active in the sectors of residential real estate development, development of office premises, ownership and management for its own account of shopping centers, and management of shopping centers on behalf of third parties.  </w:t>
        <w:br/>
        <w:t xml:space="preserve">2. The company Urbat Promotion (hereinafter "Urbat"), controlled by [Confidential] through the company HC, heads a group of […] companies, each subsidiary having been established to carry out a real estate development program. The Urbat group is thus active in the real estate development sector in the regions of Midi-Pyrénées, Languedoc-Roussillon, and Provence-Alpes-Côte d'Azur, as well as, occasionally, in the sector of real estate development for businesses, in the Languedoc-Roussillon region.  </w:t>
        <w:br/>
        <w:t>3. The notified operation, formalized by a share acquisition protocol of July 29, 2011, consists of the acquisition by Altarea of […] % of the capital of the company Urbat. Following the operation, Altarea will therefore exercise exclusive control over the Urbat group.</w:t>
      </w:r>
    </w:p>
    <w:p>
      <w:r>
        <w:t xml:space="preserve">4. In that it results in the acquisition of exclusive control of Urbat by the company Altarea, the notified operation constitutes a concentration operation within the meaning of Article L. 430-1 of the Commercial Code.  </w:t>
        <w:br/>
        <w:t>5. The companies concerned have together achieved a consolidated worldwide turnover of more than 150 million euros in the last closed financial year (Altarea Cogedim: 863.5 million euros for the financial year ended December 31, 2010; Urbat group: […] million euros for the same financial year). Each of these companies has achieved, in France, a turnover exceeding 50 million euros (Altarea Cogedim group: 830.5 million euros for the financial year ended December 31, 2010; Urbat group: […] million euros for the same financial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Altarea Cogedim and Urbat groups are simultaneously present in the real estate services sector.  </w:t>
        <w:br/>
        <w:t xml:space="preserve">A. PRODUCT MARKETS  </w:t>
        <w:br/>
        <w:t xml:space="preserve">7. National1 and European2 decision-making practice has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8. Regarding this last segmentation, according to the nature of the services or goods offered, decision-making practice3 has considered distinguishing:  </w:t>
        <w:br/>
        <w:t xml:space="preserve">- real estate development which includes the activities of construction and sale of real estate;  </w:t>
        <w:br/>
        <w:t xml:space="preserve">- management of real estate assets for its own account;  </w:t>
        <w:br/>
        <w:t xml:space="preserve">- management of real estate assets on behalf of third parties;  </w:t>
        <w:br/>
        <w:t xml:space="preserve">1 See in particular the decision of the Competition Authority No. 10-DCC-112 of September 17, 2010, regarding the joint control by Prédica and Altaréa of the company Alta Marigny Carré de Soie; the decision of the Competition Authority No. 10-DCC-13 of January 29, 2010, regarding the exclusive control by Icade S.A. of Compagnie la Lucette S.A, and the letter from the Minister of Economy, Industry and Employment C2008-49 of July 9, 2008, to the board of the company Sofade, regarding a concentration in the real estate sector.  </w:t>
        <w:br/>
        <w:t xml:space="preserve">2 See in particular the decision of the European Commission COMP/M.3370, BNP Paribas / ARI, of March 9, 2004.  </w:t>
        <w:br/>
        <w:t>3 See in particular the decisions of the Competition Authority 10-DCC-112 and 10-DCC-13 mentioned above.</w:t>
      </w:r>
    </w:p>
    <w:p>
      <w:r>
        <w:t xml:space="preserve">- the management of real estate which includes the activities of managing buildings on behalf of owners and can be segmented between rental management and co-ownership management;  </w:t>
        <w:br/>
        <w:t xml:space="preserve">- real estate appraisal;  </w:t>
        <w:br/>
        <w:t xml:space="preserve">- real estate consulting;  </w:t>
        <w:br/>
        <w:t xml:space="preserve">- intermediation in real estate transactions where intermediation in purchase/sale operations is distinguished from intermediation in rental operations.  </w:t>
        <w:br/>
        <w:t xml:space="preserve">9. Regarding real estate development, decision-making practice4 has considered distinguishing between residential real estate development and the development of premises intended for businesses.  </w:t>
        <w:br/>
        <w:t xml:space="preserve">10. In any case, the precise definition of the markets can be left open insofar as, regardless of the definition adopted, the conclusions of the competitive analysis will remain unchanged.  </w:t>
        <w:br/>
        <w:t xml:space="preserve">B. GEOGRAPHICAL MARKETS  </w:t>
        <w:br/>
        <w:t xml:space="preserve">11. European5 and national6 decision-making practice has analyzed the effects on competition of operations in the residential real estate development markets at the regional7, or departmental8 level, or even at the level of the agglomeration9. The local dimension is particularly justified by the differences observed between regions or between large agglomerations in terms of housing prices and demand behavior.  </w:t>
        <w:br/>
        <w:t>12. It is not necessary to resolve this question in the present case, as the results of the competitive analysis remain unchanged regardless of the geographical delimitation retained.</w:t>
      </w:r>
    </w:p>
    <w:p>
      <w:r>
        <w:t xml:space="preserve">III. Competitive analysis  </w:t>
        <w:br/>
        <w:t xml:space="preserve">13. In this case, the Altarea Cogedim and Urbat groups are simultaneously present in the market for residential real estate development and in the market for real estate development for businesses.  </w:t>
        <w:br/>
        <w:t xml:space="preserve">4 See in particular the letter from the Minister of Economy, Finance and Industry C2008-1 of March 4, 2008, regarding a concentration in the sector of real estate services and goods.  </w:t>
        <w:br/>
        <w:t xml:space="preserve">5 See the aforementioned decision of the European Commission COMP/M.3370.  </w:t>
        <w:br/>
        <w:t xml:space="preserve">6 See in particular the aforementioned letter from the Minister of Economy, Finance and Industry C2008-1.  </w:t>
        <w:br/>
        <w:t xml:space="preserve">7 See in particular the aforementioned decision of the European Commission Comp/M.3370 and the letter from the Minister of Economy C2007-85 mentioned above.  </w:t>
        <w:br/>
        <w:t xml:space="preserve">8 See the decision of the Competition Authority 09-DCC-53 mentioned above and the letters from the Minister of Economy C2008-1 and C2007-85 mentioned above.  </w:t>
        <w:br/>
        <w:t>9 See in particular the decision of the European Commission No. IV/M.1289 of August 31, 1998, Harbert Management / DB / Bankers trust / SPP / Ohman.</w:t>
      </w:r>
    </w:p>
    <w:p>
      <w:r>
        <w:rPr>
          <w:b/>
        </w:rPr>
        <w:t>[Pages 4–4]</w:t>
      </w:r>
    </w:p>
    <w:p>
      <w:r>
        <w:t>14. The positions of the parties in the market for residential real estate development have been estimated by the notifying party both in volume, with regard to the number of housing units reserved in 2010 within the framework of the ongoing marketing programs, and in value, with regard to the turnover related to these reserved housing units.</w:t>
      </w:r>
    </w:p>
    <w:p>
      <w:r>
        <w:t>15. At the national level, the combined market shares of the Altarea Cogedim and Urbat groups have thus been estimated at [0-5]% in volume and [5-10]% in value.</w:t>
      </w:r>
    </w:p>
    <w:p>
      <w:r>
        <w:t>16. At the local level, the activities of the Altarea Cogedim and Urbat groups overlap in the departments of Bouches-du-Rhône, Var, and Haute Garonne. In these departments, their combined market share does not exceed [5-10]%, both in volume and in value. Finally, both parties are active in the urban areas of Marseille-Aix en Provence, Toulouse, and Toulon-moyen Var, without their combined market share exceeding [5-10]%, both in volume and in value.</w:t>
      </w:r>
    </w:p>
    <w:p>
      <w:r>
        <w:t>17. The notifying party argues that the market for real estate development, at both the national and local levels, is characterized by the presence of numerous competitors such as subsidiaries of large groups active in the construction and public works sector (Bouygues Immobilier, Eiffage Immobilier, or Vinci Immobilier), independent developers, developers controlled by institutional investors such as Nexity, Gecina, Maisons France Confort, and Akerys, as well as subsidiaries of banking groups.</w:t>
      </w:r>
    </w:p>
    <w:p>
      <w:r>
        <w:t>18. Regarding the market for real estate development for businesses, the activity of the Urbat group remains marginal as it only developed […] office programs in Hérault in 2010, [Confidential].</w:t>
      </w:r>
    </w:p>
    <w:p>
      <w:r>
        <w:t>19. In light of these elements, the operation is not likely to harm competition.</w:t>
      </w:r>
    </w:p>
    <w:p>
      <w:r>
        <w:t>DECIDES</w:t>
        <w:br/>
        <w:t>Sole Article: The operation notified under number 11-0138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