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https://www.autoritedelaconcurrence.fr/fr/decision-de-controle-des-concentrations/relative-la-prise-de-controle-exclusif-par-le-groupe-0</w:t>
      </w:r>
    </w:p>
    <w:p>
      <w:r>
        <w:t>Pages translated : 6</w:t>
      </w:r>
    </w:p>
    <w:p/>
    <w:p>
      <w:r>
        <w:rPr>
          <w:b/>
        </w:rPr>
        <w:t>[Pages 1–3]</w:t>
      </w:r>
    </w:p>
    <w:p>
      <w:r>
        <w:t xml:space="preserve">FRENCH REPUBLIC  </w:t>
        <w:br/>
        <w:t xml:space="preserve">Decision No. 12-DCC-185 of December 28, 2012  </w:t>
        <w:br/>
        <w:t xml:space="preserve">regarding the exclusive control by the Carrefour group  </w:t>
        <w:br/>
        <w:t>of five retail businesses in the food sector</w:t>
      </w:r>
    </w:p>
    <w:p>
      <w:r>
        <w:t xml:space="preserve">The Competition Authority,  </w:t>
        <w:br/>
        <w:t xml:space="preserve">Having regard to the notification file submitted in full to the merger service on November 27, 2012, regarding the exclusive control of five retail points of sale in the food sector by the Carrefour group, formalized by a protocol agreement concluded between the operating company Amidis and Co., two other companies of the Carrefour group, and ITM Entreprises on November 15, 2012;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company Carrefour SA, subject to the fluctuating control of its shareholders, is the parent holding company of the Carrefour group, present in the food-dominant retail sector as well as in the food-dominant wholesale distribution. In France, through the companies Amidis and Co., CSF, and Carrefour Property France, the Carrefour group (hereinafter "Carrefour") operates hypermarkets under the Carrefour and Champion brands and supermarkets under the Champion and Carrefour Market brands. It also operates convenience stores under the Carrefour City, Carrefour Contact, Shopi, 8 à Huit, Marché plus, and Proxi brands. Carrefour also enters into contracts with companies operating retail businesses in the food sector, allowing these companies to operate their points of sale under one of the Carrefour group brands, to source from Carrefour's purchasing centers, to benefit from purchasing conditions negotiated by Carrefour with suppliers referenced by Carrefour, and to benefit from the services offered by Carrefour.  </w:t>
        <w:br/>
        <w:t xml:space="preserve">2. The five target points of sale (hereinafter "the target stores") are supermarkets and hypermarkets controlled by the company ITM Entreprises, which leads and animates the network of independent retailers known as the "Groupement des Mousquetaires," active in the food-dominant retail sector. Four of these stores, recently acquired by ITM Entreprises, are operated under the Carrefour Market brand. The fifth target store is operated under the Intermarché brand by the company Francy, controlled by ITM Entreprises. These five target stores are as follows:  </w:t>
        <w:br/>
        <w:t xml:space="preserve">- a supermarket of 1,750 m², operated under the Carrefour Market brand and located at 3-5 place de la Résistance in Céret (66400);  </w:t>
        <w:br/>
        <w:t xml:space="preserve">- a supermarket of 1,705 m², operated under the Carrefour Market brand and located at 36 boulevard des Pyrénées in Mauléon (64130);  </w:t>
        <w:br/>
        <w:t xml:space="preserve">- a supermarket of 1,700 m², operated under the Carrefour Market brand and located at the southern ring road in Vic-Fezensac (32190);  </w:t>
        <w:br/>
        <w:t xml:space="preserve">- a hypermarket of 2,990 m², operated under the Carrefour Market brand and located on the road to Lectoure in Fleurance (32500);  </w:t>
        <w:br/>
        <w:t xml:space="preserve">- a hypermarket of 2,649 m², operated under the Intermarché brand and located on the road to Saint-Alvère in Bergerac (24100);  </w:t>
        <w:br/>
        <w:t xml:space="preserve">3. The notified operation, formalized by the protocol signed on November 15, 2012, by Amidis, CSF, Carrefour Property France, and ITM Entreprises, consists of the acquisition by Amidis, or any other company of the Carrefour group, of the business assets of the target stores in Céret, Mauléon, Vic-Fezensac, and Fleurance and the acquisition of the entire capital of the company Francy, which operates the target store in Bergerac. This operation occurs in execution of the commitments made by ITM Entreprises before the Competition Authority in the context of Decision No. 12-DCC-48 of April 6, 2012, regarding the exclusive control of the company Sofides by ITM Entreprises.  </w:t>
        <w:br/>
        <w:t xml:space="preserve">4. Insofar as it results in the exclusive control of the five target stores by Carrefour, the operation constitutes a concentration within the meaning of Article L. 430-1 of the Commercial Code.  </w:t>
        <w:br/>
        <w:t xml:space="preserve">5. The concerned companies together achieve a total worldwide turnover of more than 150 million euros (Carrefour: 81.2 billion euros for the fiscal year ending December 31, 2011; the target stores: 83 million euros for the same fiscal year). At least two of these companies achieve a turnover in France exceeding 50 million euros (Carrefour: 35.1 billion euros for the fiscal year ending in 2011; the target stores: 83 million euros for the same fiscal year). Given these figures, the operation does not have a community dimension. However, the control thresholds mentioned in II of Article L. 430-2 of the Commercial Code are exceeded. This operation is therefore subject to the provisions of Articles L. 430-3 and following of the Commercial Code relating to economic concentration.  </w:t>
        <w:br/>
        <w:t xml:space="preserve">2 See the decision of the Competition Authority No. 12-DCC-48 of April 6, 2012, regarding the exclusive control of the company Sofides by ITM Entreprises.  </w:t>
        <w:br/>
        <w:t>3 As part of a transitional operation prior to the present operation, formalized by a share transfer protocol signed on October 18, 2012, ITM Participations, controlled by ITM Entreprises, will acquire from the Cistac family, prior to the completion of the operation subject to this decision, control of the company Francy, which operates the target store in Bergerac. In accordance with the provisions of paragraph 65 of the guidelines of the Competition Authority regarding the control of concentrations, this transitional operation does not constitute a controllable concentration operation.</w:t>
      </w:r>
    </w:p>
    <w:p>
      <w:r>
        <w:t xml:space="preserve">II. Delimitation of Relevant Markets  </w:t>
        <w:br/>
        <w:t xml:space="preserve">6. According to the decision-making practice of national and community competition authorities, two categories of markets can be delineated in the food-dominant distribution sector. These are, on the one hand, the "downstream" markets, of local dimension, which involve retail businesses and consumers for the sale of consumer goods and, on the other hand, the "upstream" markets for the supply of retail businesses with everyday consumer goods, of national dimension.  </w:t>
        <w:br/>
        <w:t xml:space="preserve">A. DOWNSTREAM DISTRIBUTION MARKETS  </w:t>
        <w:br/>
        <w:t xml:space="preserve">1. SERVICE MARKETS  </w:t>
        <w:br/>
        <w:t xml:space="preserve">7. Regarding the retail sale of everyday consumer goods, competition authorities, both community and national, have distinguished six categories of commerce using several criteria, including the size of the stores, their sales techniques, their accessibility, the nature of the service provided, and the range of products offered: (i) hypermarkets, (ii) supermarkets, (iii) specialized trade, (iv) small retail trade, (v) maxi discounters, (vi) mail order.  </w:t>
        <w:br/>
        <w:t xml:space="preserve">8. Supermarkets are usually defined as food-dominant stores with a legal sales area of less than 2,500 m² and hypermarkets as stores with a legal sales area of more than 2,500 m². In this case, the stores concerned by the operation currently occupy sales areas ranging from 1,700 m² to 2,990 m², with two of the concerned stores falling into the hypermarket category and three into the supermarket category.  </w:t>
        <w:br/>
        <w:t xml:space="preserve">9. However, while the overall service provided by hypermarkets (product diversity, depth of ranges, accessibility, low prices) is specific and not provided by any other form of commerce, the size criterion that determines, between supermarkets and hypermarkets, the extent of the assortment of ranges must be used in each case with caution, as stores whose area is close to the threshold that serves to distinguish them (2,500 m²), whether below or above, may in fact be in direct competition. Therefore, the conditions under which the market actually operates are taken into account, notably the fact that, in a number of geographical configurations, a hypermarket may typically be used by some consumers as a convenience store, in substitution for a supermarket. Conversely, the reverse is almost never verified and is even less so as the size of the hypermarket in question is significant.  </w:t>
        <w:br/>
        <w:t xml:space="preserve">10. Consequently, the analysis is conducted, on the one hand, on a market comprising only hypermarkets and, on the other hand, on a market including all formats of commerce.  </w:t>
        <w:br/>
        <w:t xml:space="preserve">4 See in particular the decisions of the Competition Authority No. 12-DCC-48 of April 6, 2012, regarding the exclusive control of the company Sofides by ITM Entreprises, and Decision No. 12-DCC-125 of August 27, 2012, regarding the joint control of 28 retail stores in the food sector by the Union of Alsace Cooperators and the Association of E.Leclerc Distribution Centers.  </w:t>
        <w:br/>
        <w:t>5 See in particular the decision of the European Commission M. 1221, Rewe / Meinl of February 3, 1999, and M. 1684, Carrefour / Promodès, of January 25, 2000.</w:t>
      </w:r>
    </w:p>
    <w:p>
      <w:r>
        <w:rPr>
          <w:b/>
        </w:rPr>
        <w:t>[Pages 4–6]</w:t>
      </w:r>
    </w:p>
    <w:p>
      <w:r>
        <w:t>equivalents to supermarkets (hypermarkets, supermarkets, hard-discounters), excluding convenience stores (less than 400 m²).</w:t>
      </w:r>
    </w:p>
    <w:p>
      <w:r>
        <w:t>2. GEOGRAPHICAL DELIMITATION</w:t>
      </w:r>
    </w:p>
    <w:p>
      <w:r>
        <w:t>11. It follows from decision-making practice6 that competition conditions are assessed in two different zones depending on the size of the stores:</w:t>
      </w:r>
    </w:p>
    <w:p>
      <w:r>
        <w:t>- a market where consumer demand and the supply of supermarkets and equivalent forms of commerce located within less than 15 minutes of travel time by car meet. These latter forms of commerce may include, in addition to supermarkets, hypermarkets located near consumers and discount stores;</w:t>
      </w:r>
    </w:p>
    <w:p>
      <w:r>
        <w:t>- a second market where the demand of consumers from an area and the supply of hypermarkets accessible to them within less than 30 minutes of travel time by car meet and which are, from their perspective, substitutable for each other.</w:t>
      </w:r>
    </w:p>
    <w:p>
      <w:r>
        <w:t>12. However, the attractiveness of stores of the same format may vary depending on the density and quality of the commercial equipment in an area. The socio-economic characteristics of the area concerned (population density, economic activity, geography, state of the road network) may also lead to a refinement, in the specific case, of the usual delimitations presented above.</w:t>
      </w:r>
    </w:p>
    <w:p>
      <w:r>
        <w:t>B. UPSTREAM SUPPLY MARKETS</w:t>
      </w:r>
    </w:p>
    <w:p>
      <w:r>
        <w:t>13. Regarding supply markets, the European Commission has recognized the existence of markets of national dimension by major product groups, a delimitation followed by national authorities7.</w:t>
      </w:r>
    </w:p>
    <w:p>
      <w:r>
        <w:t>14. There is no reason to challenge this delimitation in the context of the present operation.</w:t>
      </w:r>
    </w:p>
    <w:p>
      <w:r>
        <w:t>6 See in particular decision no. 11-DCC-04 of January 28, 2011, concerning the exclusive control of the company Mafical by the company ITM Alimentaire Région parisienne; decision no. 11-DCC-05 of January 17, 2011, concerning the exclusive control of the company Distri Sud-Ouest by the company Retail Leader Price Investissement; and decision no. 11-DCC-45 of March 18, 2011, concerning the exclusive control of the business of the hypermarket Cora Desmarais by the company Sodex Desmarais.</w:t>
      </w:r>
    </w:p>
    <w:p>
      <w:r>
        <w:t>7 See in particular the decisions of the minister in the sector, C.2005-98 Carrefour/Penny Market of November 10, 2005, C.2006-15 Carrefour/Groupe Hamon of April 14, 2006, C.2007-172 concerning the creation of the joint venture Plamidis of February 13, 2008, and C.2008-32 Carrefour/SAGC of July 9, 2008; as well as the decisions of the Competition Authority nos. 11-DCC-45, 11-DCC-05, and 11-DCC-04 mentioned above.</w:t>
      </w:r>
    </w:p>
    <w:p>
      <w:r>
        <w:t>III. Competitive Analysis</w:t>
      </w:r>
    </w:p>
    <w:p>
      <w:r>
        <w:t>A. UPSTREAM SUPPLY MARKETS</w:t>
      </w:r>
    </w:p>
    <w:p>
      <w:r>
        <w:t>15. Regarding upstream supply markets, the purchases of the Carrefour group represented in 2011 approximately […] euros, or [10-20]% of the overall supply market. The share of purchases by the Carrefour group is less than [20-30]% regardless of the product category considered. It should be noted that the cumulative amount of purchases made by the five stores involved in the operation is less than […] euros, or [0-5]% of the amount of purchases made in France in the upstream supply market. The share of cumulative purchases of these five target stores in each of the markets defined by product category by decision-making practice is less than [0-5]%. Furthermore, the share of purchases by the Carrefour group mentioned above already largely accounts for the purchases of the target stores since the stores in Céret, Mauléon, Fleurance, and Vic-Fezensac currently source primarily from Carrefour. The operation is therefore not likely to strengthen the purchasing power of the Carrefour group in the upstream supply markets, regardless of the market segmentation retained.</w:t>
      </w:r>
    </w:p>
    <w:p>
      <w:r>
        <w:t>16. Consequently, the operation is not likely to harm competition in the upstream supply markets.</w:t>
      </w:r>
    </w:p>
    <w:p>
      <w:r>
        <w:t>B. DOWNSTREAM FOOD-DOMINANT RETAIL MARKETS</w:t>
      </w:r>
    </w:p>
    <w:p>
      <w:r>
        <w:t>1. ANALYSIS RELATING TO SUPERMARKETS INVOLVED IN THE OPERATION.</w:t>
      </w:r>
    </w:p>
    <w:p>
      <w:r>
        <w:t>17. The five stores involved in the operation are located in the following areas:</w:t>
      </w:r>
    </w:p>
    <w:p>
      <w:r>
        <w:t>Surface in m² Brand</w:t>
        <w:br/>
        <w:t>Vic-Fezensac 1,700 Carrefour Market</w:t>
        <w:br/>
        <w:t>Mauléon 1,705 Carrefour Market</w:t>
        <w:br/>
        <w:t>Céret 1,750 Carrefour Market</w:t>
        <w:br/>
        <w:t>Fleurance 2,990 Carrefour Market</w:t>
        <w:br/>
        <w:t>Bergerac 2,649 Intermarché</w:t>
      </w:r>
    </w:p>
    <w:p>
      <w:r>
        <w:t>18. The operation results in an overlap with other stores owned by the Carrefour group only in the Bergerac area.</w:t>
      </w:r>
    </w:p>
    <w:p>
      <w:r>
        <w:t>19. In the market comprising hypermarkets located within less than 30 minutes from the target store in Bergerac, the operation does not result in any overlap of activity between the parties as no other Carrefour hypermarket is present.</w:t>
      </w:r>
    </w:p>
    <w:p>
      <w:r>
        <w:t>20. In the market comprising supermarkets and equivalent forms of commerce located within less than 15 minutes from the Bergerac supermarket, the parties cumulatively represent only [10-20]% of the sales areas behind Leclerc ([…]% of the sales areas).</w:t>
      </w:r>
    </w:p>
    <w:p>
      <w:r>
        <w:t>21. It follows from these elements that the operation is not likely to harm competition in the catchment areas defined around the target stores.</w:t>
      </w:r>
    </w:p>
    <w:p>
      <w:r>
        <w:t>DECIDES</w:t>
      </w:r>
    </w:p>
    <w:p>
      <w:r>
        <w:t>Article unique: The operation notified under number 12-199 is authorized.</w:t>
      </w:r>
    </w:p>
    <w:p>
      <w: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