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https://www.autoritedelaconcurrence.fr/fr/decision-de-controle-des-concentrations/relative-la-prise-de-controle-exclusif-par-le-groupe-1</w:t>
      </w:r>
    </w:p>
    <w:p>
      <w:r>
        <w:t>Pages translated : 11</w:t>
      </w:r>
    </w:p>
    <w:p/>
    <w:p>
      <w:r>
        <w:rPr>
          <w:b/>
        </w:rPr>
        <w:t>[Pages 1–3]</w:t>
      </w:r>
    </w:p>
    <w:p>
      <w:r>
        <w:t xml:space="preserve">FRENCH REPUBLIC  </w:t>
        <w:br/>
        <w:t xml:space="preserve">Decision No. 13-DCC-116 of August 28, 2013  </w:t>
        <w:br/>
        <w:t xml:space="preserve">regarding the exclusive control by the VanDrie Group  </w:t>
        <w:br/>
        <w:t xml:space="preserve">of the company Tendriade-Collet S.A.S  </w:t>
        <w:br/>
        <w:t xml:space="preserve">The Competition Authority,  </w:t>
        <w:br/>
        <w:t xml:space="preserve">Having regard to the notification file submitted in full to the mergers service on July 29, 2013,  </w:t>
        <w:br/>
        <w:t xml:space="preserve">regarding the exclusive control of the company Tendriade-Collet S.A.S. by the VanDrie Group, formalized by a transfer agreement dated April 19, 2013;  </w:t>
        <w:br/>
        <w:t xml:space="preserve">Having regard to Book IV of the Commercial Code relating to the freedom of prices and competition, and in particular its Articles L. 430-1 to L. 430-10;  </w:t>
        <w:br/>
        <w:t xml:space="preserve">Having regard to the supplementary elements transmitted by the parties during the investigation;  </w:t>
        <w:br/>
        <w:t xml:space="preserve">Adopts the following decision:  </w:t>
        <w:br/>
        <w:t xml:space="preserve">I. The companies concerned and the operation  </w:t>
        <w:br/>
        <w:t xml:space="preserve">1. VanDrie France S.A.S is a company wholly owned by VanDrie Holding B.V., the parent company of the VanDrie Group (hereinafter "VanDrie"). VanDrie is a Dutch group exclusively controlled by the VanDrie family. It specializes in the production and processing of veal meat, which it markets in various forms, from whole carcasses to processed products. In France, the VanDrie Group owns a veal slaughterhouse located in Périgueux/Boulazac (24).  </w:t>
        <w:br/>
        <w:t xml:space="preserve">2. Tendriade-Collet S.A.S (hereinafter "Tendriade") is a French company engaged in the production and marketing of veal meat, active at all stages of processing. Tendriade, currently 100% controlled by the Lactalis Group, owns a veal slaughterhouse in France located in Chateaubourg (35).  </w:t>
        <w:br/>
        <w:t>3. The operation, formalized by a transfer protocol dated April 19, 2013, consists of the acquisition by the VanDrie Group, through its subsidiary VanDrie France S.A.S., of 100% of the capital of the company Tendriade-Collet S.A.S. As it results in the exclusive control of the company Tendriade by the VanDrie Group, the operation constitutes a concentration within the meaning of Article L. 430-1 of the Commercial Code.</w:t>
      </w:r>
    </w:p>
    <w:p>
      <w:r>
        <w:t xml:space="preserve">4. The companies concerned together achieve a total worldwide turnover of more than 150 million euros (VanDrie Group: 1.979 billion euros for the fiscal year ending December 31, 2011; Tendriade: 218.8 million euros for the fiscal year ending December 31, 2012). The VanDrie Group and Tendriade each achieve a turnover in France exceeding 50 million euros (VanDrie Group: [...] euros for the fiscal year ending December 31, 2011; Tendriade: [...] euros for the same fiscal year). Given these turnovers, the operation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Definition of the relevant markets  </w:t>
        <w:br/>
        <w:t xml:space="preserve">A. PRODUCT AND SERVICE MARKETS  </w:t>
        <w:br/>
        <w:t xml:space="preserve">5. The parties to the operation are simultaneously active in the sector of processing and marketing veal meat. In this sector, decision-making practice1 has first segmented the different stages of meat processing, which correspond to the cycle of treatment of animals and their meat. The first processing corresponds to the collection for the slaughter of the animal, after which carcasses and by-products are obtained and sold. The second processing includes deboning and cutting of carcasses. The third processing consists of packaging ready-to-cook meat, intended for the final consumer. Finally, the fourth processing corresponds to the manufacture of processed products based on meat.  </w:t>
        <w:br/>
        <w:t xml:space="preserve">6. In the present case, the parties are simultaneously active at all stages of processing.  </w:t>
        <w:br/>
        <w:t xml:space="preserve">1. THE FIRST PROCESSING  </w:t>
        <w:br/>
        <w:t xml:space="preserve">7. Regarding the first processing, national decision-making practice2 has recognized the existence of different markets: the markets for the collection of live animals for slaughter, the markets for the slaughter of animals on behalf of third parties, the markets for carcasses as well as by-products (offals, hides, and skins).  </w:t>
        <w:br/>
        <w:t xml:space="preserve">8. In this case, the parties are present in each of these markets except for the slaughter of animals on behalf of third parties.  </w:t>
        <w:br/>
        <w:t xml:space="preserve">1 See notably the letter from the Minister of Economy, Industry and Employment dated February 17, 2009, to the board of the company Bigard, regarding a concentration in the meat sector, C2008-100; the decision 10-DCC-31 of the Competition Authority dated April 14, 2010, regarding the exclusive control of assets of the Bigard Group by the company C2 Développement (Terrena Group); the decision 10-DCC-22 of March 8, 2010, regarding the exclusive control of the company Spanghero by the cooperative company Lur Berri; the decision 11-DCC-68 of May 26, 2011, regarding the exclusive control of the companies Poujol Frères and Poujol Froid by the company Arcadie Sud-Ouest; and decision No. 11-DCC-154 of October 24, 2011, regarding the exclusive control of the financial company du Forest, holding of the GAD Group, by the Centrale Coopérative Agricole Bretonne.  </w:t>
        <w:br/>
        <w:t>2 See notably the decision of the Minister of Economy C2008-100 mentioned above as well as the decisions of the Competition Authority 10-DCC-31, 10-DCC-22, and 11-DCC-68.</w:t>
      </w:r>
    </w:p>
    <w:p>
      <w:r>
        <w:t xml:space="preserve">a) The collection of live animals for slaughter  </w:t>
        <w:br/>
        <w:t xml:space="preserve">9. Consistently, national and community competition authorities3 consider that in the meat sector, there are as many distinct markets as there are species of animals slaughtered. Indeed, the sizes and weights of animals vary from one species to another, and slaughterhouses are generally equipped with specific equipment for each type of animal. In this case, the parties are simultaneously active in the collection of calves.  </w:t>
        <w:br/>
        <w:t xml:space="preserve">b) Carcasses of meat from the first processing  </w:t>
        <w:br/>
        <w:t xml:space="preserve">10. According to decision-making practice4, carcass markets must be segmented according to the type of animal from which the carcass originates. In this case, both parties market veal carcasses.  </w:t>
        <w:br/>
        <w:t xml:space="preserve">11. Furthermore, decision-making practice5 has considered that each distribution channel used for the marketing of carcasses from the first processing (large and medium-sized stores, hereinafter "GMS", food service, hereinafter "RHD", agri-food industries, hereinafter "IAA", and butchers-charcutiers-artisans, hereinafter "BCA") constitutes a distinct relevant market due to the existence of different needs depending on the type of buyers (notably in terms of volumes, sizing, and packaging) corresponding. In this case, the parties are simultaneously active on each distribution channel for the marketing of veal carcasses.  </w:t>
        <w:br/>
        <w:t xml:space="preserve">c) By-products  </w:t>
        <w:br/>
        <w:t xml:space="preserve">12. National and community competition authorities6 have considered segmenting by-products between by-products suitable for human consumption (mainly offals), segmented by animal species and distribution channel, and by-products unsuitable for human consumption. Furthermore, decision-making practice7 has noted the existence of a market for hides and skins that can be segmented according to animal species.  </w:t>
        <w:br/>
        <w:t xml:space="preserve">13. In this case, both parties are active in the marketing of veal offals and in the marketing of veal hides and skins.  </w:t>
        <w:br/>
        <w:t xml:space="preserve">2. THE SECOND PROCESSING  </w:t>
        <w:br/>
        <w:t xml:space="preserve">14. Meats referred to as "second processing meats" are cut and/or deboned meats, often vacuum-packed for better preservation, and sold through various distribution channels, to customers who will carry out further processing of this merchandise for presentation for sale.  </w:t>
        <w:br/>
        <w:t xml:space="preserve">3 See notably the decision of the European Commission IV/M.1313 Danish Crown/Vestjyske Slagterier of March 9, 1999.  </w:t>
        <w:br/>
        <w:t xml:space="preserve">4 See notably the decision of the Minister of Economy C2008-100 mentioned above as well as the decisions of the Competition Authority 10-DCC-31, 10-DCC-22, and 11-DCC-68 mentioned above.  </w:t>
        <w:br/>
        <w:t xml:space="preserve">5 See notably the decision of the Minister of Economy C2008-100 mentioned above as well as the decisions of the Competition Authority 10-DCC-31, 10-DCC-22, and 11-DCC-68 mentioned above.  </w:t>
        <w:br/>
        <w:t xml:space="preserve">6 See notably the decision of the Minister of Economy C2008-100 mentioned above as well as the decisions of the Competition Authority 10-DCC-31 and 11-DCC-68 mentioned above. See also the decision of the European Commission COMP/M.3605 Sovion/HMG of December 21, 2004.  </w:t>
        <w:br/>
        <w:t>7 See notably the decision of the Minister of Economy C2008-100 mentioned above as well as the decisions of the Competition Authority 10-DCC-31 and 11-DCC-68 mentioned above.</w:t>
      </w:r>
    </w:p>
    <w:p>
      <w:r>
        <w:rPr>
          <w:b/>
        </w:rPr>
        <w:t>[Pages 4–6]</w:t>
      </w:r>
    </w:p>
    <w:p>
      <w:r>
        <w:t xml:space="preserve">15. Within this market, decision-making practice8 operates a segmentation according to animal species. Furthermore, these markets are segmented based on the distribution channel.  </w:t>
        <w:br/>
        <w:t xml:space="preserve">16. In the present case, the parties simultaneously market veal meat intended for GMS, IAA, RHD, and BCA.  </w:t>
        <w:br/>
        <w:t xml:space="preserve">3. THE THIRD PROCESSING  </w:t>
        <w:br/>
        <w:t xml:space="preserve">17. Meats referred to as "third processing meats" are ready-to-cook meats, packaged in the form of Industrial Consumer Sales Units ("UVCI") and directly presentable for sale. The markets for third processing meat are segmented according to species and distribution channel9. In the present case, VanDrie and Tendriade market veal, under UVCI, almost exclusively intended for GMS.  </w:t>
        <w:br/>
        <w:t xml:space="preserve">18. Furthermore, specifically regarding the sales of veal meat intended for GMS, decision-making practice10 has clarified that a segmentation based on product positioning (manufacturer brand or MDF, distributor brand or MDD, hard discount brand or MHD, and first price brand or MPP) does not appear relevant as such a differentiation policy has only been marginally implemented by market players. There is no need to challenge this delimitation in the context of the present operation.  </w:t>
        <w:br/>
        <w:t xml:space="preserve">4. THE FOURTH PROCESSING  </w:t>
        <w:br/>
        <w:t xml:space="preserve">19. The fourth processing corresponds to products made from meat. The European Commission, whose practice was subsequently adopted by the Minister of Economy and then by the Competition Authority11, has defined these products as raw, dried, smoked, or cooked meats from mammals or birds, containing ingredients such as salt or spices.  </w:t>
        <w:br/>
        <w:t xml:space="preserve">20. The decision-making practice of the European Commission has considered several types of segmentation for meat-based processed products while leaving the question open. It has indicated that this market could be segmented according to the type of meat used12. The Commission has also considered distinguishing products based on the type of recipe13: raw products, products prepared for cold consumption, canned goods, sausages, pies, and prepared dishes14. National decision-making practice15 has also considered, while leaving the question open, a segmentation by type of meat, by type of recipe (sausages, prepared dishes, skewers, marinated meats, burgers…), by distribution channel, and, for the GMS distribution channel, by product positioning16.  </w:t>
        <w:br/>
        <w:t xml:space="preserve">21. The notifying party notes that regarding products from the 4th processing, a segmentation by type of meat does not appear relevant. According to its analysis, the consumer indeed arbitrates between different recipes of processed products and not on a set of different processed products whose only common point would be the meat used. Substitution between processed products does not occur at the level of processed products with the same type of meat (there is indeed, according to the notifying party, no possible substitution between a veal burger and a veal blanquette) but at the level of processed products of the same type (in fact, according to the VanDrie Group, veal-based burgers are indeed in competition with beef-based burgers and marinated veal with marinated beef and pork). The VanDrie Group further argues that in the market for fresh catering products, whose characteristics are close to those of 4th processing products, competition authorities make a distinction based on the type of recipe and not the type of meat17.  </w:t>
        <w:br/>
        <w:t xml:space="preserve">22. In a decision in the poultry meat sector18, the Competition Authority questioned the relevance of a sub-segmentation of the markets for meat-based processed products by poultry species (chicken, turkey, duck…). The Authority observed that this segmentation did not seem relevant as, for certain processed products, different types of meat can be used, with the meat becoming "a mineral" whose intrinsic qualities may become difficult to identify for the final consumer. The decision-making practice thus recognized the existence of a certain substitutability of species for a given type of meat (poultry) and a given recipe of processed product. However, it did not retain a market delimitation encompassing processed products based on any type of meat (beef, sheep, poultry,…) as suggested by the notifying party.  </w:t>
        <w:br/>
        <w:t xml:space="preserve">23. In this case, by analogy with the poultry markets, the analysis will focus on processed products made from beef segmented according to the criteria retained by decision-making practice. In the absence of competitive issues, the question of the precise delimitation of the markets for processed products may, however, be left open.  </w:t>
        <w:br/>
        <w:t xml:space="preserve">24. In the present case, the parties market products from the 4th processing intended for GMS and marginally for IAA and RHD.  </w:t>
        <w:br/>
        <w:t xml:space="preserve">16 See the decision of the Minister of Economy C2008-100 cited above.  </w:t>
        <w:br/>
        <w:t xml:space="preserve">17 See in particular the decision of the Competition Authority No. 13-DCC-23 of February 28, 2013, §§51 to 56.  </w:t>
        <w:br/>
        <w:t xml:space="preserve">18 See the decision of the Competition Authority No. 09-DCC-67 of November 23, 2009, regarding the acquisition of the company Arrivé by the company LDC Volailles, §44.  </w:t>
        <w:br/>
        <w:t xml:space="preserve">B. GEOGRAPHIC MARKETS  </w:t>
        <w:br/>
        <w:t xml:space="preserve">1. THE FIRST PROCESSING  </w:t>
        <w:br/>
        <w:t xml:space="preserve">25. According to decision-making practice19, the markets for the collection of calves for slaughter have a regional dimension, notably due to specific constraints on long-distance transport and quality considerations. Farmers tend to favor selling their livestock to slaughterhouses located near their breeding sites, and slaughterhouses secure the majority of their supply within a radius of 100 to 150 kilometers around their location, with the remainder depending on availability, seasons, and commercial opportunities. Considering the existence of supply basins that vary in size depending on the purchasing slaughterhouse's size, the competitive analysis has been conducted on collection areas of 100 kilometers and 300 kilometers around the slaughterhouses.  </w:t>
        <w:br/>
        <w:t xml:space="preserve">26. According to decision-making practice, the markets for carcasses of meat from the first processing are of national dimension20.  </w:t>
        <w:br/>
        <w:t xml:space="preserve">27. Regarding hides and skins, without definitively ruling on the geographical delimitation, competition authorities have conducted the analysis at the national level21.  </w:t>
        <w:br/>
        <w:t xml:space="preserve">28. Regarding other co-products, decision-making practice has considered that it constitutes a market of national dimension22.  </w:t>
        <w:br/>
        <w:t xml:space="preserve">29. There is no need to challenge these delimitations of the markets for the first processing in the context of the examination of the present operation.  </w:t>
        <w:br/>
        <w:t xml:space="preserve">2. THE SECOND PROCESSING  </w:t>
        <w:br/>
        <w:t xml:space="preserve">30. Regarding the markets for the second processing, decision-making practice has considered that it is "likely that the geographical delimitation of the markets for the second processing varies depending on the type of meat and the distribution channel"23, notably due to differences in meat import rates depending on the distribution channel concerned. However, the analysis has been conducted at the national level, without definitively resolving the question of the precise geographical delimitation of the second processing markets.  </w:t>
        <w:br/>
        <w:t xml:space="preserve">31. In the present case, regarding the second processing, the competitive analysis will be conducted on national markets.  </w:t>
        <w:br/>
        <w:t xml:space="preserve">19 See in particular the decision of the Minister of Economy C2008-100 cited above as well as the decisions of the Competition Authority 10-DCC-31, 10-DCC-22, and 11-DCC-68 cited above.  </w:t>
        <w:br/>
        <w:t xml:space="preserve">20 See in particular the decision of the Minister of Economy C2008-100 cited above as well as the decisions of the Competition Authority 10-DCC-31, 10-DCC-22, and 11-DCC-68 cited above.  </w:t>
        <w:br/>
        <w:t xml:space="preserve">21 See in particular the decision of the Minister of Economy C2008-100 cited above as well as the decision of the Competition Authority 11-DCC-68 cited above.  </w:t>
        <w:br/>
        <w:t xml:space="preserve">22 See the letters from the Minister of Economy, Finance and Employment No. C2007-167 of December 26, 2007, to the board of the company Bigard, regarding a concentration in the meat processing industry and No. C2007-174 of February 6, 2008, to the board of the company Bigard, regarding a concentration in the beef sector. See also the decisions of the Competition Authority No. 10-DCC-37 of May 5, 2010, regarding the exclusive control of the company Orléans Viandes by the Sicarev group and No. 11-DCC-154 of October 24, 2011, regarding the exclusive control of the company Financière du Forest, holding of the GAD group, by the Centrale Coopérative Agricole Bretonne.  </w:t>
        <w:br/>
        <w:t>23 See the decision of the Minister of Economy C2008-100 cited above.</w:t>
      </w:r>
    </w:p>
    <w:p>
      <w:r>
        <w:rPr>
          <w:b/>
        </w:rPr>
        <w:t>[Pages 7–9]</w:t>
      </w:r>
    </w:p>
    <w:p>
      <w:r>
        <w:t xml:space="preserve">3. THE THIRD PROCESSING  </w:t>
        <w:br/>
        <w:t xml:space="preserve">32. Regarding the markets for third processing, national decision-making practice has considered that these markets have a national dimension24. In this case, the competitive analysis will thus be conducted on national markets for third processing.  </w:t>
        <w:br/>
        <w:t xml:space="preserve">4. THE FOURTH PROCESSING  </w:t>
        <w:br/>
        <w:t xml:space="preserve">33. According to national decision-making practice25, the markets for fourth processing are considered on a national dimension, notably due to the low levels of imports and exports of processed products. There is no reason to challenge this market delineation during the examination of the present operation.  </w:t>
        <w:br/>
        <w:t xml:space="preserve">III. Competitive Analysis  </w:t>
        <w:br/>
        <w:t xml:space="preserve">A. ANALYSIS OF HORIZONTAL EFFECTS  </w:t>
        <w:br/>
        <w:t xml:space="preserve">1. THE FIRST PROCESSING  </w:t>
        <w:br/>
        <w:t xml:space="preserve">a) The collection of live animals for slaughter  </w:t>
        <w:br/>
        <w:t xml:space="preserve">34. The analyses below are based on market share estimates provided for 2012 by the notifying party26. Generally, VanDrie is almost absent from the collection market (its national market share is estimated at [0-5] %). Thus, at the national level, the position of the new entity will not exceed [10-20] %27.  </w:t>
        <w:br/>
        <w:t xml:space="preserve">35. Regarding the collection areas of 100 kilometers around the parties' slaughterhouses, the operation will not result in any overlap of activity between VanDrie's slaughterhouse in Périgueux/Boulazac (24) and Tendriade's slaughterhouse located in Châteaubourg (35).  </w:t>
        <w:br/>
        <w:t xml:space="preserve">36. If we consider collection areas of 300 kilometers around the parties' slaughterhouses, the purchasing share of the VanDrie group once the operation is completed will be [5-10] % around the Périgueux/Boulazac slaughterhouse (of which [0-5] % was initially held by VanDrie and [0-5] % by the target). In the Châteaubourg area, the position held by the new entity is estimated at [10-20] %, although the increment in purchasing share is extremely low, with VanDrie being almost absent from this area with a position below [0-5] %.  </w:t>
        <w:br/>
        <w:t xml:space="preserve">37. The purchasing shares held by the new entity will therefore remain moderate, regardless of the size of the collection areas considered. Furthermore, the VanDrie group will continue to face, both locally and nationally, competition from numerous players such as the Bigard-Socopa group (whose purchasing share is between 10 and 20 % depending on the areas) that have significant slaughterhouses near those held by the parties.  </w:t>
        <w:br/>
        <w:t xml:space="preserve">b) Carcasses of meat from the first processing  </w:t>
        <w:br/>
        <w:t xml:space="preserve">38. Regarding the carcass markets, the parties simultaneously sell their products through the four distribution channels previously mentioned (GMS, IAA, RHD, and BCA).  </w:t>
        <w:br/>
        <w:t xml:space="preserve">39. Following the operation, the positions of the new entity in each of the market segments identified by practice are presented in the following table:  </w:t>
        <w:br/>
        <w:t xml:space="preserve">Sales of carcasses in volume  </w:t>
        <w:br/>
        <w:t xml:space="preserve">GMS IAA/Wholesalers RHD BCA  </w:t>
        <w:br/>
        <w:t xml:space="preserve">VanDrie [0-5]% [20-30]% [0-5]% [5-10]%  </w:t>
        <w:br/>
        <w:t xml:space="preserve">Tendriade [5-10]% [5-10]% [0-5]% [0-5]%  </w:t>
        <w:br/>
        <w:t xml:space="preserve">Total [5-10]% [30-40]% [5-10]% [5-10]%  </w:t>
        <w:br/>
        <w:t xml:space="preserve">40. In these markets, the VanDrie group will continue to face significant competitors such as the Bigard-Socopa group whose market share is estimated at [10-20] % for the sale of carcasses intended for GMS, [10-20] % for IAA, [40-50] % for RHD, and [20-30] % for BCA.  </w:t>
        <w:br/>
        <w:t xml:space="preserve">41. The notifying party also recalls that in the GMS and IAA markets, carcass producers face significant buyer power. It also indicates that, without challenging the national delineation of the carcass market, of the […] tons of carcasses it sold in France in 2012 intended for IAA, more than […] % came from the Netherlands and Belgium. French players in the agri-food industry therefore seem capable of arbitrating between different European producers for their supply.  </w:t>
        <w:br/>
        <w:t xml:space="preserve">c) By-products  </w:t>
        <w:br/>
        <w:t xml:space="preserve">42. Regarding by-products from calves suitable for human and animal consumption, the national market share of the new entity is estimated at [20-30] %. By distribution channel, the market shares of the new entity concerning by-products from calves suitable for human and animal consumption are as follows:  </w:t>
        <w:br/>
        <w:t xml:space="preserve">Sales of calf by-products in volume  </w:t>
        <w:br/>
        <w:t xml:space="preserve">GMS IAA/Wholesalers RHD BCA  </w:t>
        <w:br/>
        <w:t xml:space="preserve">VanDrie [10-20]% [20-30]% [20-30]% [5-10]%  </w:t>
        <w:br/>
        <w:t xml:space="preserve">Tendriade [10-20]% [0-5]% [0-5]% [0-5]%  </w:t>
        <w:br/>
        <w:t xml:space="preserve">Total [20-30]% [20-30]% [20-30]% [5-10]%  </w:t>
        <w:br/>
        <w:t xml:space="preserve">43. The notifying party argues that in these markets it remains confronted with competition from companies specializing in the marketing of offal (the main by-products suitable for human consumption) that have very competitive know-how and market recognition far superior to that of meat producers.  </w:t>
        <w:br/>
        <w:t xml:space="preserve">44. Regarding by-products from calves unfit for human consumption, the market share of the new entity will remain below [0-5] %28.  </w:t>
        <w:br/>
        <w:t xml:space="preserve">45. Finally, concerning hides and skins, the position of the VanDrie group following the operation is estimated in value at [5-10] %29.  </w:t>
        <w:br/>
        <w:t xml:space="preserve">46. Given the above, the operation is not likely to affect competition in the markets for the first processing through horizontal effects.  </w:t>
        <w:br/>
        <w:t xml:space="preserve">2. THE SECOND PROCESSING  </w:t>
        <w:br/>
        <w:t xml:space="preserve">47. Regarding veal meat from the second processing, the national market shares of the new entity across the different distribution channels will be as follows: [10-20] % for GMS (VanDrie: [5-10] %, Tendriade: [5-10] %), [10-20] % for IAA/wholesalers (VanDrie: [10-20] %, Tendriade: [0-5] %), [10-20] % for RHD (VanDrie: [10-20] %, Tendriade: [5-10] %), and approximately [5-10] % for BCA (VanDrie: [5-10] %, Tendriade: approximately [0-5] %). The market shares of the new entity will therefore remain moderate (below [10-20] % across all segments) following the operation.  </w:t>
        <w:br/>
        <w:t xml:space="preserve">48. Consequently, the operation is not likely to affect competition in the markets for the second processing through horizontal effects.  </w:t>
        <w:br/>
        <w:t xml:space="preserve">3. THE THIRD PROCESSING  </w:t>
        <w:br/>
        <w:t xml:space="preserve">48. Regarding veal meat from the third processing, the national market shares of the new entity will remain below [0-5] % in the IAA, RHD, and BCA channels. In the GMS channel, the national market share of the new entity will be below [5-10] % (VanDrie: [0-5] %, Tendriade: [5-10] %).  </w:t>
        <w:br/>
        <w:t xml:space="preserve">49. Given the moderate market shares, the operation is not likely to affect competition in the markets for the third processing.  </w:t>
        <w:br/>
        <w:t xml:space="preserve">4. THE FOURTH PROCESSING  </w:t>
        <w:br/>
        <w:t xml:space="preserve">a) Market segmented by type of meat  </w:t>
        <w:br/>
        <w:t xml:space="preserve">50. In distribution channels other than GMS, the new entity will only be marginally present, with its market shares being below [0-5] %.  </w:t>
        <w:br/>
        <w:t xml:space="preserve">51. Regarding sales intended for GMS, if a segmentation by type of meat (beef vs. other types of meat) were to be retained, the market shares of the new entity would be below [10-20] %, regardless of the commercial positioning considered. In these segments, the new entity will continue to be subject to competition from numerous operators, including the Bigard-Socopa group (market share between 30 % and 40 % depending on the segment considered) and the Terrena group (market share between 10 % and 25 % depending on the segment considered).  </w:t>
        <w:br/>
        <w:t xml:space="preserve">28 The parties were unable to provide the market shares of their competitors.  </w:t>
        <w:br/>
        <w:t>29 The parties were unable to provide the market shares of their competitors.</w:t>
      </w:r>
    </w:p>
    <w:p>
      <w:r>
        <w:rPr>
          <w:b/>
        </w:rPr>
        <w:t>[Pages 10–11]</w:t>
      </w:r>
    </w:p>
    <w:p>
      <w:r>
        <w:t xml:space="preserve">b) Market segmented by type of processed products  </w:t>
        <w:br/>
        <w:t xml:space="preserve">52. In a market segmented by type of recipe, the market shares of the new entity would be below [0-5]%, regardless of the type of recipes considered, except for ready-to-cook products. In this latter segment, VanDrie's market share following the operation will be [10-20]%, with the market share increment being limited to [0-5]%.  </w:t>
        <w:br/>
        <w:t xml:space="preserve">53. Given the moderate market shares of the new entity following the operation, the operation is not likely to harm competition through horizontal effects in the markets for fourth processing.  </w:t>
        <w:br/>
        <w:t xml:space="preserve">B. ANALYSIS OF VERTICAL EFFECTS  </w:t>
        <w:br/>
        <w:t xml:space="preserve">54. The operation allows the new entity to strengthen its position in the various upstream markets for the collection of calves and carcasses, as well as in the downstream markets for meat resulting from the second, third, and fourth processing. It is therefore necessary to ensure that for the competing operators of the parties at the various stages of veal meat production, the operation does not restrict outlets or access to inputs.  </w:t>
        <w:br/>
        <w:t xml:space="preserve">55. The decision-making practice of the competition authorities generally dismisses these lock-in risks when the share of the company resulting from the operation in the relevant markets does not exceed 30%. In this case, following the operation, the VanDrie Group's market share in the various veal meat markets will be below 30%, except for the market for the sale of carcasses intended for IAA/Wholesalers, where the new entity's position is estimated at [30-40]% following the operation. However, for this market, buyers will retain the ability to source from numerous carcass producers representing together two-thirds of the volumes sold. The notifying party further emphasizes that their competitors in the carcass market have available production capacities, as previously noted by the Minister of Economy30.  </w:t>
        <w:br/>
        <w:t xml:space="preserve">56. In light of the above, the operation is not likely to harm competition through vertical effects between the various veal meat markets.  </w:t>
        <w:br/>
        <w:t xml:space="preserve">30 See the letter from the Minister of Economy n°C2008-100 referenced above.  </w:t>
        <w:br/>
        <w:t>10</w:t>
      </w:r>
    </w:p>
    <w:p>
      <w:r>
        <w:t xml:space="preserve">DECIDES  </w:t>
        <w:br/>
        <w:t xml:space="preserve">Sole Article: The operation notified under number 13-092 is authorized.  </w:t>
        <w:br/>
        <w:t xml:space="preserve">The Vice-President,  </w:t>
        <w:br/>
        <w:t xml:space="preserve">Emmanuel Combe  </w:t>
        <w:br/>
        <w:t xml:space="preserve">© Competition Authority  </w:t>
        <w:br/>
        <w:t>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