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https://www.autoritedelaconcurrence.fr/fr/decision-de-controle-des-concentrations/relative-la-prise-de-controle-exclusif-par-le-groupe-11</w:t>
      </w:r>
    </w:p>
    <w:p>
      <w:r>
        <w:t>Pages translated : 2</w:t>
      </w:r>
    </w:p>
    <w:p/>
    <w:p>
      <w:r>
        <w:rPr>
          <w:b/>
        </w:rPr>
        <w:t>[Pages 1–2]</w:t>
      </w:r>
    </w:p>
    <w:p>
      <w:r>
        <w:t xml:space="preserve">FRENCH REPUBLIC  </w:t>
        <w:br/>
        <w:t xml:space="preserve">Decision No. 19-DCC-109 of June 3, 2019  </w:t>
        <w:br/>
        <w:t xml:space="preserve">regarding the exclusive control acquisition by the Dugardin group of seven  </w:t>
        <w:br/>
        <w:t xml:space="preserve">automobile business assets belonging to the Delesalle group  </w:t>
        <w:br/>
        <w:t xml:space="preserve">The Competition Authority,  </w:t>
        <w:br/>
        <w:t xml:space="preserve">Having regard to the complete notification file sent to the mergers department on May 10, 2019,  </w:t>
        <w:br/>
        <w:t xml:space="preserve">concerning the exclusive control acquisition of six automobile trading business assets and one bodywork business asset, by the company Dugardin Littoral Automobiles and formalized by a letter of intent dated March 29, 2019.  </w:t>
        <w:br/>
        <w:t xml:space="preserve">Having regard to Book IV of the Commercial Code relating to the freedom of prices and competition, and in particular its Articles L. 430-1 to L. 430-7;  </w:t>
        <w:br/>
        <w:t xml:space="preserve">Having regard to the elements transmitted during the investigation by the notifying party;  </w:t>
        <w:br/>
        <w:t xml:space="preserve">Adopts the decision as follows:  </w:t>
        <w:br/>
        <w:t xml:space="preserve">1. The notified operation consists of the exclusive control acquisition by the company Dugardin Littoral Automobiles of the seven business assets of the Delesalle group, which operate six Ford brand automobile dealerships and one bodywork shop in the departments of Nord (59) and Pas-de-Calais (62). It constitutes a concentration operation within the meaning of Article L. 430-1 of the Commercial Code. Given the turnover achieved by the companies concerned, the operation does not fall under the jurisdiction of the European Union. On the other hand, the retail control thresholds mentioned in point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19-114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