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https://www.autoritedelaconcurrence.fr/fr/decision-de-controle-des-concentrations/relative-la-prise-de-controle-exclusif-par-le-groupe-12</w:t>
      </w:r>
    </w:p>
    <w:p>
      <w:r>
        <w:t>Pages translated : 2</w:t>
      </w:r>
    </w:p>
    <w:p/>
    <w:p>
      <w:r>
        <w:rPr>
          <w:b/>
        </w:rPr>
        <w:t>[Pages 1–2]</w:t>
      </w:r>
    </w:p>
    <w:p>
      <w:r>
        <w:t xml:space="preserve">FRENCH REPUBLIC  </w:t>
        <w:br/>
        <w:t xml:space="preserve">Decision No. 19-DCC-154 of July 31, 2019  </w:t>
        <w:br/>
        <w:t xml:space="preserve">regarding the exclusive control acquisition by the Cobredia group of the  </w:t>
        <w:br/>
        <w:t xml:space="preserve">company Cap Sud Automobile and two automotive distribution business assets  </w:t>
        <w:br/>
        <w:t xml:space="preserve">The Competition Authority,  </w:t>
        <w:br/>
        <w:t xml:space="preserve">Having regard to the complete notification file submitted to the mergers department on July 1, 2019,  </w:t>
        <w:br/>
        <w:t xml:space="preserve">concerning the exclusive control acquisition of the company Cap Sud Automobile and two business assets for the trading and repair of motor vehicles, by the company Compagnie Bretonne de Diffusion Automobile and formalized by a letter of intent dated March 29, 2019.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Compagnie Bretonne de Diffusion Automobile, on the one hand, of the two business assets of the company Honoré Quimper, which operate two automotive dealerships of the Volkswagen and Audi brands in the department of Finistère (29) and, on the other hand, of the company Cap Sud Automobile, operating an automotive dealership under the Fiat, Alfa Romeo, and Jeep brands in the same department (29).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19-168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