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https://www.autoritedelaconcurrence.fr/fr/decision-de-controle-des-concentrations/relative-la-prise-de-controle-exclusif-par-le-groupe-13</w:t>
      </w:r>
    </w:p>
    <w:p>
      <w:r>
        <w:t>Pages translated : 6</w:t>
      </w:r>
    </w:p>
    <w:p/>
    <w:p>
      <w:r>
        <w:rPr>
          <w:b/>
        </w:rPr>
        <w:t>[Pages 1–3]</w:t>
      </w:r>
    </w:p>
    <w:p>
      <w:r>
        <w:t xml:space="preserve">FRENCH REPUBLIC  </w:t>
        <w:br/>
        <w:t xml:space="preserve">Decision No. 19-DCC-174 of September 24, 2019  </w:t>
        <w:br/>
        <w:t xml:space="preserve">regarding the exclusive control by the Maritime Kuhn group of  </w:t>
        <w:br/>
        <w:t>Bolloré Ports France</w:t>
      </w:r>
    </w:p>
    <w:p>
      <w:r>
        <w:t xml:space="preserve">The Competition Authority,  </w:t>
        <w:br/>
        <w:t xml:space="preserve">Having regard to the notification file submitted in full to the concentrations service on August 30, 2019, regarding the acquisition of control by the Maritime Kuhn group of Bolloré Ports France, an operation formalized by a share purchase and sale agreement dated July 31, 2019;  </w:t>
        <w:br/>
        <w:t xml:space="preserve">Having regard to Book IV of the Commercial Code relating to the freedom of prices and competition, and in particular Articles L. 430-1 to L. 430-7;  </w:t>
        <w:br/>
        <w:t xml:space="preserve">Having regard to the supplementary elements provided by the parties during the investigation;  </w:t>
        <w:br/>
        <w:t>Adopts the following decision:</w:t>
      </w:r>
    </w:p>
    <w:p>
      <w:r>
        <w:t xml:space="preserve">I. The companies concerned and the operation  </w:t>
        <w:br/>
        <w:t xml:space="preserve">1. The company H3F is the holding company of the Maritime Kuhn group (hereinafter, "Maritime Kuhn") which is active in the port sector. Present in about ten French ports, the Maritime Kuhn group offers a full range of services to ships: handling-storage, agency-line, transit-customs, chartering, and transport commission. By decision of the partners dated July 4, 2019, not yet effective to date, the name "H3F" was changed to "Maritime Kuhn."  </w:t>
        <w:br/>
        <w:t xml:space="preserve">2. The company Bolloré Ports France (hereinafter "BPF"), a subsidiary of Bolloré Logistics, engages in port logistics activities (handling-storage) as well as ancillary activities of agency, transit-customs, chartering, and transport commission.  </w:t>
        <w:br/>
        <w:t xml:space="preserve">3. The notified operation consists of the acquisition by Maritime Kuhn of all the shares comprising the capital of Bolloré Ports France. As it results in the acquisition of exclusive control by Maritime Kuhn of BPF, the operation constitutes a concentration operation within the meaning of Article L. 430-1 of the Commercial Code.  </w:t>
        <w:br/>
        <w:t>4. The companies concerned together achieve a total worldwide turnover excluding taxes of more than 150 million euros (Maritime Kuhn, [≤150] million euros for the fiscal year ending December 31, 2018; Bolloré Ports France, [≤150] million euros for the fiscal year ending December 31, 2018). Each of them has achieved, in France, a turnover exceeding 50 million euros (Maritime Kuhn, [≥50] million euros for the fiscal year ending December 31, 2018; Bolloré Ports France, [≥50] million euros for the fiscal year ending December 31, 2018).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5. The parties to the concentration are simultaneously active in the port logistics market. The parties also engage in freight forwarding, agency-line, transport commission, and land chartering activities. However, as these activities are ancillary for both companies and the overlaps are limited, the markets related to these activities will not be examined in the context of this decision.</w:t>
      </w:r>
    </w:p>
    <w:p>
      <w:r>
        <w:t xml:space="preserve">A. SERVICE MARKETS  </w:t>
        <w:br/>
        <w:t xml:space="preserve">6. Port services can be segmented into two main categories: services to ships (such as pilotage, towing, bunkering, or mooring) and services to goods, in other words, handling operations (loading and unloading, stuffing and stripping of containers, etc.).  </w:t>
        <w:br/>
        <w:t xml:space="preserve">7. The decision-making practice of the Authority distinguishes port handling services concerning containerized goods from the same services concerning non-containerized goods (dry bulk, or solid, and liquid bulk), as these services do not require the same infrastructures.  </w:t>
        <w:br/>
        <w:t xml:space="preserve">8. Furthermore, national decision-making practice has also considered the possibility of subdividing the market for terminal services for dry bulk according to the type of goods handled: large bulk (coal and iron ore), agricultural bulk (grains, seeds), and other dry bulk (zinc concentrates and other non-ferrous concentrates, cement clinkers, pig iron, kaolin, phosphates, cokes, anthracites, etc.). The European Commission has also considered subdividing the market for port logistics for dry bulk based on the goods handled. In any event, it is not necessary in this case to decide on the exact delineation of this market, as the conclusions of the competitive analysis remain unchanged regardless of the delineation adopted.  </w:t>
        <w:br/>
        <w:t xml:space="preserve">9. Furthermore, within port cargo handling, both national and European decision-making practice, while leaving open the question of the exact definition of the relevant markets, has considered the distinction of handling related to transport from or to the hinterland of the port ("hinterland") of the handling consisting of the transshipment of goods from one ship to another, with a view to redirecting containers to other ports. These two types of service are not substitutable, as the transshipment of containers does not require a connection with the hinterland. It is not necessary, in this case, to decide on this delineation, as the conclusions of the competitive analysis remain unchanged, regardless of the delineation adopted.  </w:t>
        <w:br/>
        <w:t>10. In this case, the activities of the parties overlap in the markets for port handling for containers and for dry bulk, with the exception of large bulk.</w:t>
      </w:r>
    </w:p>
    <w:p>
      <w:r>
        <w:t xml:space="preserve">B. GEOGRAPHICAL DEFINITION OF MARKETS  </w:t>
        <w:br/>
        <w:t xml:space="preserve">1. MARKET FOR PORT HANDLING FOR CONTAINERS  </w:t>
        <w:br/>
        <w:t>11. Regarding the relevant market for container handling services related to the hinterland, the decision-making practice of the Authority, based on the decision-making practice of the European Commission, has determined, concerning the port of Le Havre, that all ports of the Northern European arc, from the port of Hamburg to the port of Le Havre, are in competition. The practice of the European Commission has also retained this geographical scope in certain decisions; however, several of its decisions, particularly the most recent ones, consider a narrower geographical definition of this market. In several recent decisions, the European Commission has presented the different hypotheses of geographical dimension of this market and, without resolving the issue, estimated that the narrowest geographical delimitation conceivable could consist of all ports of the Northern European arc.</w:t>
      </w:r>
    </w:p>
    <w:p>
      <w:r>
        <w:rPr>
          <w:b/>
        </w:rPr>
        <w:t>[Pages 4–6]</w:t>
      </w:r>
    </w:p>
    <w:p>
      <w:r>
        <w:t>ports of a single State11. In any case, it is not necessary in this instance to decide on the exact geographical delimitation of this service market, as the conclusions of the competitive analysis remain unchanged regardless of the delimitation chosen.</w:t>
      </w:r>
    </w:p>
    <w:p>
      <w:r>
        <w:t>12. Regarding container transshipment services, both national and community decision-making practice considers that the geographical scope of ports offering substitute services is broader and includes European regional areas such as, for example, Northern Europe12. In any case, it is not necessary, in the present case, to decide on the exact geographical delimitation of this service market, as, regardless of the delimitation chosen, the conclusions of the competitive analysis remain unchanged.</w:t>
      </w:r>
    </w:p>
    <w:p>
      <w:r>
        <w:t>13. In this case, the parties proposed to consider for the competitive analysis of the container handling market a hinterland comprising all French ports as well as the Belgian ports of Bruges, Ghent, Zeeland, and Antwerp and the Spanish ports of Bilbao and Barcelona. As a subsidiary measure, they also provided their market shares for all French ports alone. Finally, they provided their market shares over an arc ranging from the ports of Dunkirk to Bordeaux.</w:t>
      </w:r>
    </w:p>
    <w:p>
      <w:r>
        <w:t>14. In this case, the question of geographical delimitation may, however, be left open, the competitive analysis remaining unchanged, regardless of the hypothesis adopted.</w:t>
      </w:r>
    </w:p>
    <w:p>
      <w:r>
        <w:t>2. MARKET FOR PORT CARGO HANDLING FOR DRY BULK</w:t>
      </w:r>
    </w:p>
    <w:p>
      <w:r>
        <w:t>15. National decision-making practice has considered that the hinterland concerning dry bulk is less extensive than the hinterland for containers or traditional goods. In this regard, in a decision by the minister13, the analysis retained several arcs: a northern arc consisting of the ports located between Caen and Antwerp, an Atlantic arc including, on the one hand, an area ranging from the ports located between Saint-Malo and La Rochelle and, on the other hand, an area ranging from the ports of La Rochelle to Bilbao, and finally, a Mediterranean arc consisting of two areas, the first being between the ports of Marseille and Barcelona and the second between the ports of Sète and Genoa. The European Commission recently conducted its analysis on a hinterland served by an arc from Le Havre to Hamburg but also considered the market of the port of Antwerp14.</w:t>
      </w:r>
    </w:p>
    <w:p>
      <w:r>
        <w:t>16. The parties argue that all ports located between Les Sables d'Olonne and Antwerp share a common hinterland (hereinafter, "Northern market") and that all ports located in the Bilbao-La Rochelle-Marseille-Barcelona area also share a common hinterland (hereinafter, "Southern market"). Additionally, the parties provided their positions for all French ports alone. They also provided their market shares for the Northern market for an area ranging from the ports of Dunkirk to Bordeaux and for the Southern market from the ports of La Rochelle to Sète.</w:t>
      </w:r>
    </w:p>
    <w:p>
      <w:r>
        <w:t>17. In this case, the question of geographical delimitation may, however, be left open, the competitive analysis remaining unchanged, regardless of the hypothesis adopted.</w:t>
      </w:r>
    </w:p>
    <w:p>
      <w:r>
        <w:t>11 See recently the decisions of the European Commission COMP/M.9016 CMA CGM / CONTAINER FINANCE of October 22, 2018 or M. 8120 Hapag-Lloyd / United Arab Shipping Company of November 23, 2016.</w:t>
      </w:r>
    </w:p>
    <w:p>
      <w:r>
        <w:t>12 See the decision of the European Commission of June 29, 2015 M.7523 CMA CGM / OPDR.</w:t>
      </w:r>
    </w:p>
    <w:p>
      <w:r>
        <w:t>13 See letter C-2003/15 from the Minister of Economy dated June 4, 2003, to the councils of the company Sea-Invest regarding a concentration in the port sector.</w:t>
      </w:r>
    </w:p>
    <w:p>
      <w:r>
        <w:t>14 See the decision of the European Commission M.5093 DP World / Conti 7 / Rickmers/ DP World Breakbulk of November 18, 2008.</w:t>
      </w:r>
    </w:p>
    <w:p>
      <w:r>
        <w:t>III. Competitive Analysis</w:t>
      </w:r>
    </w:p>
    <w:p>
      <w:r>
        <w:t>18. The activities of the parties overlap in the markets for port container handling as well as in the markets for logistics for dry bulk.</w:t>
      </w:r>
    </w:p>
    <w:p>
      <w:r>
        <w:t>19. Market shares were calculated in volume15 based on estimates provided by the parties16. Except for the port of Le Havre, the available data to estimate the total volume of all ports in the considered geographical areas do not distinguish handling related to the hinterland from transshipment. Furthermore, the parties indicated that data from certain ports, where they are not active, could not be collected, which tends to underestimate both the overall market volume and the activity of competing operators. The calculated market shares therefore overestimate their position.</w:t>
      </w:r>
    </w:p>
    <w:p>
      <w:r>
        <w:t>20. According to the parties' estimates, in the container handling activity, the market share of the new entity will remain below 10%, regardless of the geographical delimitation chosen.</w:t>
      </w:r>
    </w:p>
    <w:p>
      <w:r>
        <w:t>21. Regarding port logistics services for dry bulk, the table below presents the market shares of the new entity for each of the port arcs considered for the overall dry bulk market and for the two potential segments where the parties' activities overlap.</w:t>
      </w:r>
    </w:p>
    <w:p>
      <w:r>
        <w:t>Geographical Area Agricultural Bulk Other Bulk Solid Bulk</w:t>
        <w:br/>
        <w:t>Northern Market</w:t>
        <w:br/>
        <w:t>Antwerp-Les Sables d'Olonne [10-20]% [5-10]% [5-10]%</w:t>
        <w:br/>
        <w:t>Dunkirk-Bordeaux [20-30]% [20-30]% [10-20]%</w:t>
        <w:br/>
        <w:t>Southern Market</w:t>
        <w:br/>
        <w:t>La Rochelle - Bilbao - Barcelona - Marseille [30-40]% [10-20]% [10-20]%</w:t>
        <w:br/>
        <w:t>La Rochelle - Sète [30-40]% [40-50]% [30-40]%</w:t>
        <w:br/>
        <w:t>All French Ports [20-30]% [10-20]% [10-20]%</w:t>
      </w:r>
    </w:p>
    <w:p>
      <w:r>
        <w:t>22. In the dry bulk market, the market share of the new entity will reach [30-40]% for the Southern market over the arc constituted by the ports of La Rochelle to Sète. Nevertheless, the position of the new entity must be put into perspective, particularly considering the presence of numerous competitors such as the Sea Invest group, active in this segment in the ports of Bordeaux and Bayonne (through its subsidiary Sotramab), or the logistics subsidiaries of agricultural cooperatives (SICA Atlantique in La Rochelle and Rochefort, SOCOMAC - a subsidiary of the Soufflet group - in La Rochelle and Rouen, etc.). The market share of the new entity will remain well below 25% across all other geographical delimitations.</w:t>
      </w:r>
    </w:p>
    <w:p>
      <w:r>
        <w:t>23. In the agricultural bulk segment, the market share of the new entity will only significantly exceed 25% for the Southern market. Nevertheless, the position of the new entity must be put into perspective, particularly considering the low increase in market shares resulting from the operation (less than 4%) and the presence of numerous competitors such as the Sea Invest group, active in the ports of Sète, Nantes, Rouen, and Bordeaux, or the logistics subsidiaries of agricultural cooperatives or traders (SICA Atlantique in La Rochelle, SOCOMAC - a subsidiary of the Soufflet group - in La Rochelle and Rouen, etc.).</w:t>
      </w:r>
    </w:p>
    <w:p>
      <w:r>
        <w:t>24. In the "other bulk" segment, the market share of the new entity will reach [40-50]% for the Southern market over the arc constituted by the ports of La Rochelle to Sète. Nevertheless, the position of the new entity must be put into perspective, particularly considering the presence of numerous competitors such as the Sea Invest group, active in this segment in the ports of Bordeaux and Bayonne (through its subsidiary Sotramab), MTL, active in this segment in the port of Sète, or the logistics subsidiaries of agricultural cooperatives (SICA Atlantique in La Rochelle and Rochefort, etc.). The market share of the new entity will remain well below 25% across all other geographical delimitations.</w:t>
      </w:r>
    </w:p>
    <w:p>
      <w:r>
        <w:t>25. The operation is therefore not likely to harm competition through horizontal effects in these markets.</w:t>
      </w:r>
    </w:p>
    <w:p>
      <w:r>
        <w:t>DECIDES</w:t>
      </w:r>
    </w:p>
    <w:p>
      <w:r>
        <w:t>Sole Article: The operation notified under number 19-157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