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https://www.autoritedelaconcurrence.fr/fr/decision-de-controle-des-concentrations/relative-la-prise-de-controle-exclusif-par-le-groupe-15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21-DCC-229 of November 25, 2021  </w:t>
        <w:br/>
        <w:t xml:space="preserve">regarding the exclusive control acquisition by the Eureden group of the  </w:t>
        <w:br/>
        <w:t>company Financière Perna</w:t>
      </w:r>
    </w:p>
    <w:p>
      <w:r>
        <w:t>The Competition Authority,</w:t>
      </w:r>
    </w:p>
    <w:p>
      <w:r>
        <w:t xml:space="preserve">Having regard to the complete notification file sent to the mergers department on October 22, 2021,  </w:t>
        <w:br/>
        <w:t xml:space="preserve">concerning the exclusive control acquisition of the company Financière Perna by the Eureden group,  </w:t>
        <w:br/>
        <w:t>formalized by a share transfer agreement dated September 30, 2021;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Adopts the following decision:</w:t>
      </w:r>
    </w:p>
    <w:p>
      <w:r>
        <w:t xml:space="preserve">1. The notified operation consists of the exclusive control acquisition of the company Financière Perna,  </w:t>
        <w:br/>
        <w:t xml:space="preserve">the parent company of the André Bazin group, active in the charcuterie-salting sector, by the  </w:t>
        <w:br/>
        <w:t xml:space="preserve">company Eureden Viande, a subsidiary of the cooperative group Eureden. It constitutes a  </w:t>
        <w:br/>
        <w:t xml:space="preserve">concentration operation within the meaning of Article L. 430-1 of the Commercial Code. Given the  </w:t>
        <w:br/>
        <w:t xml:space="preserve">turnover generated by the concerned companies, the operation does not fall under the jurisdiction of  </w:t>
        <w:br/>
        <w:t xml:space="preserve">the European Union. On the other hand, the control thresholds mentioned in I of Article L. 430-2  </w:t>
        <w:br/>
        <w:t xml:space="preserve">of the Commercial Code are exceeded. The present operation is therefore subject to the provisions  </w:t>
        <w:br/>
        <w:t>of Articles L. 430-3 and following of the Commercial Code relating to economic concentration.</w:t>
      </w:r>
    </w:p>
    <w:p>
      <w:r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21-152 is authorized.  </w:t>
        <w:br/>
        <w:t xml:space="preserve">The interim 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