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https://www.autoritedelaconcurrence.fr/fr/decision-de-controle-des-concentrations/relative-la-prise-de-controle-exclusif-par-le-groupe-16</w:t>
      </w:r>
    </w:p>
    <w:p>
      <w:r>
        <w:t>Pages translated : 2</w:t>
      </w:r>
    </w:p>
    <w:p/>
    <w:p>
      <w:r>
        <w:rPr>
          <w:b/>
        </w:rPr>
        <w:t>[Pages 1–2]</w:t>
      </w:r>
    </w:p>
    <w:p>
      <w:r>
        <w:t xml:space="preserve">FRENCH REPUBLIC  </w:t>
        <w:br/>
        <w:t xml:space="preserve">Decision No. 22-DCC-39 of March 23, 2022  </w:t>
        <w:br/>
        <w:t xml:space="preserve">regarding the exclusive control acquisition by the Nomblot Frères group  </w:t>
        <w:br/>
        <w:t xml:space="preserve">of an automotive distribution business  </w:t>
        <w:br/>
        <w:t xml:space="preserve">The Competition Authority,  </w:t>
        <w:br/>
        <w:t xml:space="preserve">Having regard to the complete notification file sent to the mergers department on March 7, 2022  </w:t>
        <w:br/>
        <w:t xml:space="preserve">concerning the exclusive control acquisition by the Nomblot Frères group of an automotive distribution business, formalized by a transfer agreement dated February 24, 2022;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company Nomblot Automobiles, a subsidiary of the Nomblot Frères group, of an automotive distribution business under the brands Citroën and DS in Villefranche-sur-Saône (69) belonging to the company Garage Thivolle. It constitutes a concentration operation within the meaning of Article L. 430-1 of the Commercial Code. Given the turnover achieved by the companies involved,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22-060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