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https://www.autoritedelaconcurrence.fr/fr/decision-de-controle-des-concentrations/relative-la-prise-de-controle-exclusif-par-le-groupe-17</w:t>
      </w:r>
    </w:p>
    <w:p>
      <w:r>
        <w:t>Pages translated : 16</w:t>
      </w:r>
    </w:p>
    <w:p/>
    <w:p>
      <w:r>
        <w:rPr>
          <w:b/>
        </w:rPr>
        <w:t>[Pages 1–3]</w:t>
      </w:r>
    </w:p>
    <w:p>
      <w:r>
        <w:t>FRENCH REPUBLIC</w:t>
        <w:br/>
        <w:t>Decision No. 25-DCC-275 of November 18, 2025</w:t>
        <w:br/>
        <w:t>regarding the exclusive control by the Avril group of</w:t>
        <w:br/>
        <w:t>the companies Valtris Champlor and Valtris Enterprises France</w:t>
        <w:br/>
        <w:t>The Competition Authority,</w:t>
        <w:br/>
        <w:t>Having regard to the notification file submitted in full to the merger service on</w:t>
        <w:br/>
        <w:t>October 13, 2025, regarding the exclusive control by the Avril group of the companies</w:t>
        <w:br/>
        <w:t>Valtris Champlor and Valtris Enterprises France, formalized by a sale option agreement</w:t>
        <w:br/>
        <w:t>dated June 27, 2025;</w:t>
        <w:br/>
        <w:t>Having regard to Book IV of the Commercial Code relating to the freedom of prices and</w:t>
        <w:br/>
        <w:t>competition, and in particular its Articles L. 430-1 to L. 430-7;</w:t>
        <w:br/>
        <w:t>Having regard to the additional elements provided by the notifying party during the</w:t>
        <w:br/>
        <w:t>investigation;</w:t>
        <w:br/>
        <w:t>Having regard to the other documents in the file;</w:t>
        <w:br/>
        <w:t>Adopts the following decision:</w:t>
      </w:r>
    </w:p>
    <w:p>
      <w:r>
        <w:t>I. THE COMPANIES CONCERNED AND THE OPERATION</w:t>
        <w:br/>
        <w:t>1. Avril SCA is the parent company of the Avril group (hereinafter, "Avril"). It is</w:t>
        <w:br/>
        <w:t>exclusively controlled by the French Federation of Oilseed and Protein Producers.</w:t>
        <w:br/>
        <w:t>Avril is an international agro-industrial operator active in the animal nutrition sector</w:t>
        <w:br/>
        <w:t>through its primary processing and crushing activities of oilseeds1 (production of vegetable</w:t>
        <w:br/>
        <w:t>oils and meals), via its subsidiaries Saipol, Lesieur, Expur, Oléon, and Solteam. It is also</w:t>
        <w:br/>
        <w:t>active in the production and marketing of complete feeds and complementary feeds for</w:t>
        <w:br/>
        <w:t>livestock. Avril is also involved in the distribution of animal feeds and agri-supply</w:t>
        <w:br/>
        <w:t>products, the distribution of gardening and pet products, egg packaging, specialty</w:t>
        <w:br/>
        <w:t>chemicals based on vegetable oils, and the manufacturing and marketing of consumer</w:t>
        <w:br/>
        <w:t>goods (edible oils, cold sauces, etc.). Additionally, Avril is active in the agricultural</w:t>
        <w:br/>
        <w:t>investment sector through the company Sofiprotéol. In 2024, Avril took control of the</w:t>
        <w:br/>
        <w:t>company Axéréal Elevage, which is active in the sectors of complete feed production and</w:t>
        <w:br/>
        <w:t>the distribution of animal feeds and agri-supply products, as well as in the distribution of</w:t>
        <w:br/>
        <w:t>gardening and pet products2.</w:t>
        <w:br/>
        <w:t>2. The companies Valtris Champlor and Valtris Enterprises France (hereinafter "the target</w:t>
        <w:br/>
        <w:t>companies" or "the target") are two French companies specialized in the industrial</w:t>
        <w:br/>
        <w:t>processing of rapeseed, owned by the Valtris group, which is itself controlled by the</w:t>
        <w:br/>
        <w:t>American investment fund SK Capital Partners. The target produces and markets from its</w:t>
        <w:br/>
        <w:t>industrial site in Verdun (55) products derived from rapeseed, mainly meals for animal</w:t>
        <w:br/>
        <w:t>feed, rapeseed vegetable oils, and rapeseed esters used in the production of biodiesel.</w:t>
        <w:br/>
        <w:t>3. The present operation, formalized by a sale option agreement dated June 27, 2025,</w:t>
        <w:br/>
        <w:t>concerns the acquisition by Avril of all the shares of the companies Valtris Champlor and</w:t>
        <w:br/>
        <w:t>Valtris Enterprises. As it results in the exclusive control of the target by Avril, the notified</w:t>
        <w:br/>
        <w:t>operation constitutes a concentration within the meaning of Article L. 430-1 of the</w:t>
        <w:br/>
        <w:t>Commercial Code.</w:t>
        <w:br/>
        <w:t>4. The concerned companies together achieve a total worldwide turnover of more than</w:t>
        <w:br/>
        <w:t>150 million euros (Avril: 7.7 billion euros for the fiscal year ending December 31, 2024;</w:t>
        <w:br/>
        <w:t>target companies: [&gt; 150] million euros for the same fiscal year). Each of these companies</w:t>
        <w:br/>
        <w:t>achieves a turnover in France exceeding 50 million euros (Avril: [&gt; 50] million euros for</w:t>
        <w:br/>
        <w:t>the fiscal year ending December 31, 2024; target companies: [&gt; 50] million euros for the</w:t>
        <w:br/>
        <w:t>same fiscal year). Given these turnover figures, the operation does not have a European</w:t>
        <w:br/>
        <w:t>dimension. However, the control thresholds mentioned in I of Article L. 430-2 of the</w:t>
        <w:br/>
        <w:t>Commercial Code are exceeded. The present operation is therefore subject to the</w:t>
        <w:br/>
        <w:t>provisions of Articles L. 430-3 and following of the Commercial Code relating to economic</w:t>
        <w:br/>
        <w:t>concentration.</w:t>
        <w:br/>
        <w:t>1 Avril also has a marginal activity of collecting oilseeds (rapeseed and sunflower), through its subsidiary</w:t>
        <w:br/>
        <w:t>Saipol, and cereals (wheat, triticale, rye, oats, and barley), through its subsidiaries Céréos and Proxiel.</w:t>
        <w:br/>
        <w:t>2 Decision of the Competition Authority No. 24-DCC-210 of September 27, 2024, regarding the exclusive control</w:t>
        <w:br/>
        <w:t>by the Avril group of the companies Axéréal Elevage and Centre Grains.</w:t>
      </w:r>
    </w:p>
    <w:p>
      <w:r>
        <w:t>II. DELIMITATION OF RELEVANT MARKETS</w:t>
        <w:br/>
        <w:t>5. The activities of the parties primarily overlap in the sector of oilseed crushing and more</w:t>
        <w:br/>
        <w:t>specifically in the production and marketing of meals, refined oil, and biodiesel3. Since the</w:t>
        <w:br/>
        <w:t>target is only active in the crushing of rapeseed, the delimitation of relevant markets</w:t>
        <w:br/>
        <w:t>concerns only this type of seed.</w:t>
        <w:br/>
        <w:t>A. THE UPSTREAM MARKET FOR THE PURCHASE OF RAPESEED</w:t>
        <w:br/>
        <w:t>1. PRODUCT MARKETS</w:t>
        <w:br/>
        <w:t>6. Given the activities of the parties that purchase rapeseed for their crushing activity, and</w:t>
        <w:br/>
        <w:t>although this market has never been defined by the Competition Authority, it is appropriate</w:t>
        <w:br/>
        <w:t>to propose a definition for the purposes of this competitive analysis.</w:t>
        <w:br/>
        <w:t>7. This market for the purchase of rapeseed involves, on one hand, suppliers of rapeseed</w:t>
        <w:br/>
        <w:t>and, on the other hand, downstream processors of rapeseed.</w:t>
        <w:br/>
        <w:t>8. On the supply side, suppliers of rapeseed are:</w:t>
        <w:br/>
        <w:t>- agricultural cooperatives, which collect volumes of seeds from their cooperative</w:t>
        <w:br/>
        <w:t>members and from other non-member farmers, then store and market them to</w:t>
        <w:br/>
        <w:t>industrials;</w:t>
        <w:br/>
        <w:t>- unions of cooperatives, which group together several cooperatives and consolidate the</w:t>
        <w:br/>
        <w:t>volumes collected by each of them for resale to industrials: they do not themselves</w:t>
        <w:br/>
        <w:t>carry out the collection activity;</w:t>
        <w:br/>
        <w:t>- traders, who purchase volumes of rapeseed, either from storage organizations or directly</w:t>
        <w:br/>
        <w:t>from farmers and market them to industrials, handling logistics and transport.</w:t>
        <w:br/>
        <w:t>9. On the demand side, the customers are the industrials active in the crushing of rapeseed,</w:t>
        <w:br/>
        <w:t>from which meals (solid part) and crude oils (liquid part) result, which can be refined or</w:t>
        <w:br/>
        <w:t>transformed into biodiesel.</w:t>
        <w:br/>
        <w:t>10. Given the specific uses of rapeseed to meet a particular demand for the finished product</w:t>
        <w:br/>
        <w:t>(biological or non-GMO), the Competition Authority is of the opinion that this market should</w:t>
        <w:br/>
        <w:t>be segmented more finely, taking into account the existence of a demand for organic or non-GMO rapeseed, particularly for the manufacturing and marketing of refined oils intended for human consumption.</w:t>
        <w:br/>
        <w:t>3 The activities of the parties also overlap in the production and marketing of crude glycerin and fatty acids, but their</w:t>
        <w:br/>
        <w:t>combined market shares are below 25%: there is therefore a presumption of absence of risk of harm to competition in these markets presented by the notifying party in accordance with the decision-making practice of competition authorities that does not need to be presented in detail in this decision.</w:t>
      </w:r>
    </w:p>
    <w:p>
      <w:r>
        <w:rPr>
          <w:b/>
        </w:rPr>
        <w:t>[Pages 4–6]</w:t>
      </w:r>
    </w:p>
    <w:p>
      <w:r>
        <w:t>11. The notifying party considers conversely that a market for the purchase of seeds should encompass at least all types of oilseeds, or even all types of cereals, oilseeds, and protein crops (“COP”).</w:t>
      </w:r>
    </w:p>
    <w:p>
      <w:r>
        <w:t>12. In this case, the question of the exact delineation of the market for the purchase of seeds can be left open, as the conclusions of the competitive analysis remain unchanged on a market expanded to all types of seeds. The analysis will be conducted in this specific case on the upstream market for the purchase of conventional non-GMO rapeseed on which the activities of the parties overlap.</w:t>
      </w:r>
    </w:p>
    <w:p>
      <w:r>
        <w:t>2. THE GEOGRAPHIC MARKETS</w:t>
      </w:r>
    </w:p>
    <w:p>
      <w:r>
        <w:t>13. The notifying party considers that such a market would have a supranational dimension, characterized in particular by the significance of import and export flows. According to the data provided in the notification file, a significant portion of the volumes of seeds processed in France comes from abroad, with substantial volumes from third countries outside the European Economic Area (“EEA”) – in particular [confidential], and are transported to the EEA by sea (for imports from third countries outside the EEA) or by river (intra-EEA).</w:t>
      </w:r>
    </w:p>
    <w:p>
      <w:r>
        <w:t>14. In 2024, Avril purchased [confidential] % of the rapeseed it processed in France from French buyers, [confidential] % from outside the EEA, and [confidential] % from within the EEA.</w:t>
      </w:r>
    </w:p>
    <w:p>
      <w:r>
        <w:t>15. The existence of these flows is not contested, and it appears that the overall market for the purchase of rapeseed is indeed of a global dimension.</w:t>
      </w:r>
    </w:p>
    <w:p>
      <w:r>
        <w:t>16. On the other hand, a significant portion of imports from outside the EEA concerns GMO rapeseed, [confidential], whereas it is prohibited to cultivate GMO rapeseed within the European Union.</w:t>
      </w:r>
    </w:p>
    <w:p>
      <w:r>
        <w:t>17. Furthermore, there are significant rapeseed cultivation areas in France ([confidential] tons), in the Benelux, and in Germany ([confidential] tons), as well as in Eastern Europe (Poland, Hungary, Czech Republic, and Romania) ([confidential] tons), leading to significant intra-EEA exchanges. Thus, in 2024, France exported nearly ([confidential] tons of rapeseed, which is more than a quarter of its production, primarily to Germany ([confidential] tons) and the Benelux ([confidential] tons).</w:t>
      </w:r>
    </w:p>
    <w:p>
      <w:r>
        <w:t>18. According to the notifying party, these exchange flows are explained in particular by the fact that European rapeseed processors have very large crushing capacities, with significant needs for rapeseed that lead them to source from different supply basins, outside of a national territory, in order to saturate their production facilities.</w:t>
      </w:r>
    </w:p>
    <w:p>
      <w:r>
        <w:t>19. Moreover, processors are dependent on the sales strategies of their rapeseed suppliers, who may delay the marketing of their products in order to obtain the most favorable commercial conditions possible. According to the notifying party, this would encourage the establishment of diversified sourcing, both in terms of suppliers and the geographical origin of rapeseed. This is indeed the strategy implemented by Avril, even though it “prioritizes” purchasing rapeseed of French origin.</w:t>
      </w:r>
    </w:p>
    <w:p>
      <w:r>
        <w:t>20. Given these elements, the question of the exact definition of this market can be left open (European or supranational – France, Germany, Benelux) as long as the conclusions of the competitive analysis remain unchanged.</w:t>
      </w:r>
    </w:p>
    <w:p>
      <w:r>
        <w:t>B. THE MARKETS FOR THE PRODUCTION AND MARKETING OF MEAL</w:t>
      </w:r>
    </w:p>
    <w:p>
      <w:r>
        <w:t>1. PRODUCT MARKETS</w:t>
      </w:r>
    </w:p>
    <w:p>
      <w:r>
        <w:t>21. Meals are residues obtained after the extraction of oil from oilseeds.</w:t>
      </w:r>
    </w:p>
    <w:p>
      <w:r>
        <w:t>22. These markets have been segmented by competition authorities according to the type of seeds (rapeseed, soybean, sunflower)5: in this case, the overlap of activities between the parties concerns only rapeseed meal.</w:t>
      </w:r>
    </w:p>
    <w:p>
      <w:r>
        <w:t>23. A sub-segmentation according to the method of production (pressing, extraction) has been considered6: in this case, the overlap of activities between the parties concerns only rapeseed meal obtained by extraction.</w:t>
      </w:r>
    </w:p>
    <w:p>
      <w:r>
        <w:t>24. An additional sub-segmentation according to the quality of the seeds (GMO, non-GMO) has also been considered7: in this case, the overlap of activities between the parties concerns only non-GMO rapeseed meal obtained by extraction.</w:t>
      </w:r>
    </w:p>
    <w:p>
      <w:r>
        <w:t>25. Finally, a last sub-segmentation according to the type of production (conventional, organic) has been considered8: in this case, the overlap of activities between the parties concerns only non-GMO conventional rapeseed meal obtained by extraction.</w:t>
      </w:r>
    </w:p>
    <w:p>
      <w:r>
        <w:t>26. The notifying party contests the existence of these segmentations and considers, estimating that there is a strong substitutability on both the supply and demand sides, that a global market for the production and marketing of meal should be retained, without the need to segment according to the different types of seeds or their quality.</w:t>
      </w:r>
    </w:p>
    <w:p>
      <w:r>
        <w:t>27. In any case, there is no need to rule on the exact delineation of the market for the production and marketing of meal, as the conclusions of the competitive analysis remain unchanged, regardless of the segmentation considered.</w:t>
      </w:r>
    </w:p>
    <w:p>
      <w:r>
        <w:t>2. THE GEOGRAPHIC MARKETS</w:t>
      </w:r>
    </w:p>
    <w:p>
      <w:r>
        <w:t>28. Competition authorities consider at least a national, or even European or global dimension, while leaving the question of the exact market delineation open9.</w:t>
      </w:r>
    </w:p>
    <w:p>
      <w:r>
        <w:t>29. The notifying party recalls that oilseed meals do not present any preservation or logistical constraints for their transport, so they can travel long distances. Thus, imported meals—from non-EU countries—are transported to Europe by ships, including containers with a capacity of up to 60,000 tons. Regarding meals produced on European territory, they are mainly transported by ship (notably via the Black Sea for production from Eastern Europe), by mini-bulk carrier (for river transport), and by truck to their final destination.</w:t>
      </w:r>
    </w:p>
    <w:p>
      <w:r>
        <w:t>30. Furthermore, in a recent decision10, the European Commission retained a market for seed meals corresponding to catchment areas around the processing plants of the parties to the operation. The market test conducted in the context of this European concentration established that the competitors of the parties marketed their rapeseed meals in areas within a radius of 500 kilometers around their plants.</w:t>
      </w:r>
    </w:p>
    <w:p>
      <w:r>
        <w:t>31. In this case, the notifying party presented the positions of the new entity on the scale of a catchment area of 500 kilometers around the target plant located in Verdun.</w:t>
      </w:r>
    </w:p>
    <w:p>
      <w:r>
        <w:t>32. Furthermore, it provided the actual footprint of this plant reproduced below, which corroborates the regional dimension of this geographic market that includes part of the Benelux and Germany11.</w:t>
      </w:r>
    </w:p>
    <w:p>
      <w:r>
        <w:t>[confidential]</w:t>
      </w:r>
    </w:p>
    <w:p>
      <w:r>
        <w:t>33. It follows that the geographic delineation retained by the European Commission to analyze the effects of a concentration on the rapeseed meal market in the context of the Bunge / Viterra decision, namely a catchment area of 500 kilometers around the processing sites of the parties, is relevant for the purposes of the competitive analysis12.</w:t>
      </w:r>
    </w:p>
    <w:p>
      <w:r>
        <w:t>34. In this case, a regional dimension defined by the actual footprint of the target plant has been retained13. For the purposes of this investigation, and in accordance with the approach taken by the European Commission in its Bunge / Viterra decision, the market shares of the parties are estimated at the national level, notably for reasons related to the availability of economic data, but the Commission subsequently examined the effects of the concentration in an area within a radius of 500 kilometers around the parties' plants.</w:t>
      </w:r>
    </w:p>
    <w:p>
      <w:r>
        <w:t>13 In its decision n° 16-DCC-208 of December 9, 2016, regarding the merger by absorption of Sicavyl by Sicarev, the Competition Authority applied this method to delineate the geographic markets for the collection of cattle for slaughter by identifying the actual collection areas of the cattle from the parties' slaughterhouses. It recalled that, in retail trade, the catchment area of a point of sale can thus be limited to that which groups customers representing 80% of the turnover of the point of sale or 80% of the customers of said point of sale, depending on the available data. The remainder is considered as occasional and insignificant clientele. This 80% threshold has been applied in this case.</w:t>
      </w:r>
    </w:p>
    <w:p>
      <w:r>
        <w:rPr>
          <w:b/>
        </w:rPr>
        <w:t>[Pages 7–9]</w:t>
      </w:r>
    </w:p>
    <w:p>
      <w:r>
        <w:t>availability of economic data, but the competitive analysis will take into account the broader size of the market, as it includes part of the Benelux and Germany.</w:t>
      </w:r>
    </w:p>
    <w:p>
      <w:r>
        <w:t>C. THE MARKETS FOR THE PRODUCTION AND MARKETING OF REFINED OIL</w:t>
        <w:br/>
        <w:t>1. PRODUCT MARKETS</w:t>
        <w:br/>
        <w:t>35. In the food oils sector, competition authorities distinguish between a market for seed oils and a market for olive oil14.</w:t>
        <w:br/>
        <w:t>36. Within seed oils, a market for crude oils is distinguished from that of refined vegetable oils15.</w:t>
        <w:br/>
        <w:t>37. The market for refined vegetable oils includes, according to the European Commission, a market for "bulk refined seed oil" (BRSO), corresponding to refined seed oils marketed in bulk, and a market for "packed refined seed oil" (PRSO), corresponding to refined seed oils marketed in bottles16.</w:t>
        <w:br/>
        <w:t>38. Competition authorities have also considered a sub-segmentation of bulk refined oils (BRSO) based on the type of seeds (sunflower, soybean, rapeseed) due to differences in terms of composition, nutritional and taste profiles, and prices among the different types of oils.</w:t>
        <w:br/>
        <w:t>39. In this case, the activities of the parties overlap in the market for bulk refined rapeseed oil (BRSO).</w:t>
        <w:br/>
        <w:t>40. The notifying party considers that there is a global market for the production and marketing of BRSO and that segmentation based on the type of seeds is not relevant, highlighting the existence of strong substitutability on both the supply and demand sides.</w:t>
        <w:br/>
        <w:t>41. In any case, there is no need to rule on the exact delimitation of the market for the production and marketing of refined oil in this instance, as the conclusions of the competitive analysis remain unchanged, regardless of the segmentation considered.</w:t>
      </w:r>
    </w:p>
    <w:p>
      <w:r>
        <w:t>2. GEOGRAPHIC MARKETS</w:t>
        <w:br/>
        <w:t>42. Regarding the geographic dimension of this market, the Competition Authority did not resolve the issue and analyzed the effects of a concentration at both the European and national levels17.</w:t>
        <w:br/>
        <w:t>14 Decision of the European Commission M.3188 ADM/VDBO of July 31, 2003, decision of the Competition Authority No. 10-DCC-35 of April 21, 2010, concerning the acquisition of Saipol by the Sofiproteol group.</w:t>
        <w:br/>
        <w:t>15 Ibid.</w:t>
        <w:br/>
        <w:t>16 Decision M. 3188 cited above.</w:t>
        <w:br/>
        <w:t>17 Decision No. 10-DCC-35 cited above.</w:t>
      </w:r>
    </w:p>
    <w:p>
      <w:r>
        <w:t>43. The notifying party considers that this market is of supranational dimension. Indeed, the main players in the market for the production and marketing of bulk refined rapeseed oil (BRSO) are global groups (such as Bunge, Cargill, or ADM/Olenex), which are able to supply customers located in France. This is illustrated by the existence of significant flows of BRSO from rapeseed between France and its neighboring countries. Thus, in 2024, the consumption of BRSO from rapeseed reached [300,000-400,000] tons in the free market in France, of which [100,000-200,000] tons were imported mainly from Germany ([40-50] %), Belgium ([30-40] %), and the Netherlands ([20-30] %). In total, imports thus represent nearly 40% of the consumption of BRSO from rapeseed in the free market in France. Avril marketed [100,000-200,000] tons of BRSO from rapeseed in 2024, of which [0-50,000] tons were exported, mainly to [confidential] ([70-80] % - by ship), [confidential] ([10-20] %), and [confidential] ([5-10] %). In total, the exports of BRSO from rapeseed made by Avril thus represent about [30-40] % of its sales.</w:t>
      </w:r>
    </w:p>
    <w:p>
      <w:r>
        <w:t>44. Furthermore, the notifying party cited two recent real experiences that illustrate the ability of customers to source BRSO from rapeseed outside of France. In April 2025, Saipol faced a shutdown at its Grand Couronne (76) site. To meet its needs, Saipol launched a tender that led to the designation of [confidential] for the purchase of [1,000-2,000] tons of BRSO from rapeseed. These volumes allowed delivery from [confidential] to customers located [confidential]. In July 2025, Champlor [confidential].</w:t>
      </w:r>
    </w:p>
    <w:p>
      <w:r>
        <w:t>45. Finally, in its recent decision Bunge / Viterra, the European Commission identified a geographic market for the production and marketing of BRSO from rapeseed of supranational dimension, defining an area with a radius of 750 kilometers around the parties' plants18.</w:t>
      </w:r>
    </w:p>
    <w:p>
      <w:r>
        <w:t>46. In this case, the notifying party provided the actual footprint of the target's plant, which covers, with a ceiling of 80%19, a radius of approximately [500-700] kilometers, including part of the Benelux and Germany.</w:t>
      </w:r>
    </w:p>
    <w:p>
      <w:r>
        <w:t>47. Thus, it appears that the market for the production and marketing of BRSO from rapeseed is of supranational dimension.</w:t>
      </w:r>
    </w:p>
    <w:p>
      <w:r>
        <w:t>48. For the purposes of this investigation, and in accordance with the approach taken by the European Commission in its Bunge / Viterra decision, the market shares of the parties are estimated at the national level, notably for reasons related to the availability of economic data, but the competitive analysis will take into account the broader size of the market.</w:t>
        <w:br/>
        <w:t>18 Market shares were calculated at the national level as this is the scale at which economic data is available, but the Commission subsequently examined the effects of the concentration in an area with a radius of 750 kilometers around the parties' plants.</w:t>
        <w:br/>
        <w:t>19 [confidential] kilometers with a ceiling of 85%. In this regard, the notifying party recalled that the Competition Authority has already used a ceiling of 100% to delineate an actual footprint when it is not relevant to apply the 80% ceiling on the percentage of sales. This is the case when the supplier transports and delivers its products to its customers, who do not travel to the supplier's site. See in this regard its decision No. 22-DCC-186 of September 30, 2022, concerning the exclusive acquisition of McKesson Europe by the Phoenix group.</w:t>
      </w:r>
    </w:p>
    <w:p>
      <w:r>
        <w:t>D. THE MARKETS FOR THE PRODUCTION AND MARKETING OF BIODIESEL</w:t>
        <w:br/>
        <w:t>49. Competition authorities traditionally identify a market for biodiesel, in the form of fatty acid methyl esters (FAME), derived either from vegetable oils (vegetable oil methyl ester), animal fat (animal fat methyl ester), or used cooking oil on one hand and alcohol (methanol) on the other hand20.</w:t>
      </w:r>
    </w:p>
    <w:p>
      <w:r>
        <w:t>50. Essentially, biodiesel is sold to oil companies or large retailers. These entities resell it as fuel to end consumers.</w:t>
      </w:r>
    </w:p>
    <w:p>
      <w:r>
        <w:t>51. European and national decision-making practice21 has considered the existence of a specific biodiesel market.</w:t>
      </w:r>
    </w:p>
    <w:p>
      <w:r>
        <w:t>52. Within the biodiesel market, the European Commission has recently left open the question of segmentation (i) between hydrotreated vegetable oils and (ii) FAME22.</w:t>
      </w:r>
    </w:p>
    <w:p>
      <w:r>
        <w:t>53. This market is considered to be of European dimension, without excluding a finer dimension corresponding to the main production and consumption basin (France, Germany, Austria, Italy, and Sweden)23.</w:t>
      </w:r>
    </w:p>
    <w:p>
      <w:r>
        <w:t>54. In this case, the question of the exact delimitation of these markets can be left open, as the conclusions of the competitive analysis remain unchanged.</w:t>
      </w:r>
    </w:p>
    <w:p>
      <w:r>
        <w:t>III. COMPETITIVE ANALYSIS</w:t>
        <w:br/>
        <w:t>A. ANALYSIS OF HORIZONTAL EFFECTS</w:t>
        <w:br/>
        <w:t>1. ON THE MARKETS FOR THE PURCHASE OF RAPESEED</w:t>
        <w:br/>
        <w:t>55. At the European level, the market share of the new entity in the market for the purchase of conventional non-GMO rapeseed is less than 10% ([5-10] % for Avril; [0-5] % for the target). At the supranational level (France, Benelux, and Germany), it is estimated at [20-30] % ([20-30] % for Avril; [0-5] % for the target). These market shares</w:t>
        <w:br/>
        <w:t>20 Decision of the Competition Authority No. 13-DCC-174 of December 3, 2013, concerning the exclusive acquisition of Ineos Champlor by Ineos Enterprises Limited.</w:t>
        <w:br/>
        <w:t>21 Decisions of the European Commission M.5388 Diester Industrie / Oleon group of January 8, 2009, and M.3876 Diester Industrie / Bunge / JV of September 30, 2005, as well as the decision of the Competition Authority No. 10-DCC-35 of April 21, 2010, concerning the acquisition of Saipol by the Sofiproteol group.</w:t>
        <w:br/>
        <w:t>22 Decision of the European Commission M.8823 Demeter Animal Fats and Proteins of July 20, 2018.</w:t>
        <w:br/>
        <w:t>23 Ibid.</w:t>
      </w:r>
    </w:p>
    <w:p>
      <w:r>
        <w:rPr>
          <w:b/>
        </w:rPr>
        <w:t>[Pages 10–12]</w:t>
      </w:r>
    </w:p>
    <w:p>
      <w:r>
        <w:t>combined market shares of the parties are below the allocation threshold of 25% below which the absence of harm to competition is presumed.</w:t>
      </w:r>
    </w:p>
    <w:p>
      <w:r>
        <w:t>56. Consequently, the proposed operation is not likely to harm competition through horizontal effects in the market for the purchase of non-GMO rapeseed.</w:t>
      </w:r>
    </w:p>
    <w:p>
      <w:r>
        <w:t>2. ON THE MARKETS FOR THE PRODUCTION AND MARKETING OF RAPESEED MEAL</w:t>
      </w:r>
    </w:p>
    <w:p>
      <w:r>
        <w:t>57. The activities of the parties overlap in the market for the production and marketing of non-GMO conventional rapeseed meal obtained through extraction.</w:t>
      </w:r>
    </w:p>
    <w:p>
      <w:r>
        <w:t>58. At the national level, the market shares of the parties across all segments of the market for the production and marketing of rapeseed meal are as follows:</w:t>
      </w:r>
    </w:p>
    <w:p>
      <w:r>
        <w:t>France / 2024 Production and marketing of rapeseed meal</w:t>
        <w:br/>
        <w:t>Avril Group Champlor New entity</w:t>
        <w:br/>
        <w:t>Total market</w:t>
        <w:br/>
        <w:t>Volume Market Share Volume Market Share Volume Market Share</w:t>
        <w:br/>
        <w:t>(KT) (KT) (%) (KT) (%) (KT) (%)</w:t>
        <w:br/>
        <w:t>Rapeseed meal</w:t>
        <w:br/>
        <w:t>[...] [...] [10- [...] [0- [...] [10-</w:t>
        <w:br/>
        <w:t>GMO</w:t>
        <w:br/>
        <w:t>20]% 5]% 20]%</w:t>
        <w:br/>
        <w:t>Rapeseed meal</w:t>
        <w:br/>
        <w:t>[...] [...] [40- [...] [0- [...] [40-</w:t>
        <w:br/>
        <w:t>non-GMO</w:t>
        <w:br/>
        <w:t>50% 5]% 50%</w:t>
        <w:br/>
        <w:t>Of which non-GMO -</w:t>
        <w:br/>
        <w:t>[...] [...] [20- [...] [0- [...] [20-</w:t>
        <w:br/>
        <w:t>Pressured</w:t>
        <w:br/>
        <w:t>30]% 5]% 30%</w:t>
        <w:br/>
        <w:t>Of which conventional [...] [...] [20- [...] [0- [...] [20-</w:t>
        <w:br/>
        <w:t>30% 5]% 30%</w:t>
        <w:br/>
        <w:t>Of which organic [...] [...] [5- [...] [0- [...] [5-</w:t>
        <w:br/>
        <w:t>10]% 5]% 10]%</w:t>
        <w:br/>
        <w:t>Of which non-GMO -</w:t>
        <w:br/>
        <w:t>[...] [...] [40- [...] [5- [...] [40-</w:t>
        <w:br/>
        <w:t>Extraction</w:t>
        <w:br/>
        <w:t>50% 10]% 50%</w:t>
        <w:br/>
        <w:t>Of which conventional [...] [...] [40- [...] [5- [...] [40-</w:t>
        <w:br/>
        <w:t>50% 10]% 50%</w:t>
        <w:br/>
        <w:t>Of which organic [...] [...] [0- [...] [0- [...] [0-</w:t>
        <w:br/>
        <w:t>5]% 5]% 5]%</w:t>
        <w:br/>
        <w:t>Total Rapeseed</w:t>
        <w:br/>
        <w:t>[...] [...] [20- [...] [0- [...] [40-</w:t>
        <w:br/>
        <w:t>Meal</w:t>
        <w:br/>
        <w:t>30% 5]% 50%</w:t>
      </w:r>
    </w:p>
    <w:p>
      <w:r>
        <w:t>59. In the French market for the production and marketing of meal, the new entity will face competition from international players who exert significant competitive pressure on the various families of rapeseed meal.</w:t>
      </w:r>
    </w:p>
    <w:p>
      <w:r>
        <w:t>60. The notifying party estimated their market shares in a global market for the production and marketing of rapeseed meal, specifying that they are representative of their positions in the segment of only non-GMO conventional rapeseed meal obtained through extraction.</w:t>
      </w:r>
    </w:p>
    <w:p>
      <w:r>
        <w:t>Competitors – Rapeseed meal</w:t>
        <w:br/>
        <w:t>France / 2024</w:t>
        <w:br/>
        <w:t>Cargill [20-25] %</w:t>
        <w:br/>
        <w:t>Bunge [10-15] %</w:t>
        <w:br/>
        <w:t>COC [1-5] %</w:t>
        <w:br/>
        <w:t>ADM [1-5] %</w:t>
        <w:br/>
        <w:t>Others [15-20] %</w:t>
      </w:r>
    </w:p>
    <w:p>
      <w:r>
        <w:t>61. In the area defined by a radius of 500 kilometers from the target's plant, the market share of the new entity24, which will operate three production sites, is reduced to [20-30] % ([20-30] % for Avril, [5-10] % for the target).</w:t>
      </w:r>
    </w:p>
    <w:p>
      <w:r>
        <w:t>62. In this area, several significant competitors have production sites capable of competing with the parties' plants and constitute credible alternatives for customers located in France: ADM ([10-20] %), Cargill ([10-20] %), Bunge ([10-20] %), Ölmühle Sels ([10-20] %), Brökelmann+Co ([5-10] %) and Thywissen ([5-10] %).</w:t>
      </w:r>
    </w:p>
    <w:p>
      <w:r>
        <w:t>63. It is noted in this regard that the target's plant has the lowest crushing capacity ([confidential] tons) in this area and that the three plants with the highest crushing capacities (greater than or equal to 1 million tons) belong to three competitors of the new entity.</w:t>
      </w:r>
    </w:p>
    <w:p>
      <w:r>
        <w:t>64. Given these elements, the proposed operation is not likely to harm competition through horizontal effects in the markets for the production and marketing of rapeseed meal.</w:t>
      </w:r>
    </w:p>
    <w:p>
      <w:r>
        <w:t>3. ON THE MARKETS FOR THE PRODUCTION AND MARKETING OF BULK REFINED RAPESEED OIL</w:t>
      </w:r>
    </w:p>
    <w:p>
      <w:r>
        <w:t>65. At the national level, the parties represent [50-60] % of the production and marketing of bulk refined rapeseed oil (BRSO) (Avril: [30-40] %; the target: [10-20] %).</w:t>
      </w:r>
    </w:p>
    <w:p>
      <w:r>
        <w:t>66. The market shares of competitors estimated by the notifying party are as follows:</w:t>
      </w:r>
    </w:p>
    <w:p>
      <w:r>
        <w:t>France / 2024 Competitors – BRSO of rapeseed</w:t>
        <w:br/>
        <w:t>Cargill [10-15]%</w:t>
        <w:br/>
        <w:t>ADM ~10%</w:t>
        <w:br/>
        <w:t>COC [5-10]%</w:t>
        <w:br/>
        <w:t>Daudruy [5-10]%</w:t>
        <w:br/>
        <w:t>Bunge ~5%</w:t>
        <w:br/>
        <w:t>Sels ~5%</w:t>
        <w:br/>
        <w:t>Others ~5%</w:t>
      </w:r>
    </w:p>
    <w:p>
      <w:r>
        <w:t>24 This market share has been calculated based on the crushing capacity of rapeseed.</w:t>
      </w:r>
    </w:p>
    <w:p>
      <w:r>
        <w:t>67. The position of the new entity can, however, be relativized as it is necessary to take into account the volumes imported into the national territory in order to reflect the actual consumption of BRSO of rapeseed in France.</w:t>
      </w:r>
    </w:p>
    <w:p>
      <w:r>
        <w:t>68. Indeed, according to the data from the notification file, imports accounted for nearly 40% of the volumes of BRSO of rapeseed marketed on the free market in France: they mainly come from Germany, Belgium, and the Netherlands, which are countries where the main competitors of the parties are located.</w:t>
      </w:r>
    </w:p>
    <w:p>
      <w:r>
        <w:t>69. At the supra-national level, the market share of the new entity is thus reduced to [10-20] % ([10-20] % for Avril; [5-10] % for the target)25.</w:t>
      </w:r>
    </w:p>
    <w:p>
      <w:r>
        <w:t>70. Furthermore, the notifying party specified that it accounted for Avril's internal sales to estimate its market shares, unlike the target and its competitors who do not self-consume, or marginally, their own production. This has the effect of overestimating the position of the new entity. Indeed, Avril uses approximately [60-70] % of the volumes of BRSO produced (across all seeds) internally as part of its packaged refined oils manufacturing activity.</w:t>
      </w:r>
    </w:p>
    <w:p>
      <w:r>
        <w:t>71. Finally, the market test conducted for the purposes of the investigation confirmed the existence of alternatives to the new entity in this market, particularly outside France. As summarized by a third party interviewed, “[…] the refining capacities currently under construction or consideration, as well as the presence of other operators close to France, notably in Belgium, Germany, and Spain, which produce significant volumes, part of which is naturally destined for the French market, also contribute to limiting the risk [of anti-competitive behavior].”</w:t>
      </w:r>
    </w:p>
    <w:p>
      <w:r>
        <w:t>72. Given the above, the proposed operation is not likely to harm competition through horizontal effects in the market for the production and marketing of bulk refined rapeseed oil.</w:t>
      </w:r>
    </w:p>
    <w:p>
      <w:r>
        <w:t>4. ON THE MARKETS FOR THE PRODUCTION AND MARKETING OF BIODIESEL</w:t>
      </w:r>
    </w:p>
    <w:p>
      <w:r>
        <w:t>73. In the market for the production and marketing of biodiesel, encompassing hydrotreated vegetable oils and fatty acid methyl esters (FAME), at the European level, the market share of the new entity is estimated at [5-10] % ([5-10] % for Avril; &lt; [0-5] % for the target). At the regional level (France, Germany, Austria, Italy, and Sweden), it is estimated at [10-20] % ([10-20] % for Avril; &lt; [0-5] % for the target).</w:t>
      </w:r>
    </w:p>
    <w:p>
      <w:r>
        <w:t>74. In the segment of the production and marketing of FAME, at the European level, the market share of the new entity is estimated at [5-10] % ([5-10] % for Avril; &lt; [0-5] % for the target). At the regional level (France, Germany, Austria, Italy, and Sweden), it is estimated at [10-20] % ([10-20] % for Avril; &lt; [0-5] % for the target).</w:t>
      </w:r>
    </w:p>
    <w:p>
      <w:r>
        <w:t xml:space="preserve">75. These combined market shares of the parties are below the allocation threshold of 25% below which the absence of harm to competition is presumed. </w:t>
        <w:br/>
        <w:t>25 The market share is reduced to [10-20] % (with an increment of [0-5] points) in the geographical market corresponding to a catchment area of 750 km around the target's site (market share expressed in refining capacities).</w:t>
      </w:r>
    </w:p>
    <w:p>
      <w:r>
        <w:rPr>
          <w:b/>
        </w:rPr>
        <w:t>[Pages 13–15]</w:t>
      </w:r>
    </w:p>
    <w:p>
      <w:r>
        <w:t>76. Consequently, the proposed operation is not likely to harm competition through horizontal effects on the markets for the production and marketing of biodiesel.</w:t>
      </w:r>
    </w:p>
    <w:p>
      <w:r>
        <w:t>B. ANALYSIS OF VERTICAL EFFECTS</w:t>
        <w:br/>
        <w:t>77.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78. The Competition Authority considers it unlikely that a company with a market share of less than 30% in a given market could lock in an upstream or downstream market.</w:t>
      </w:r>
    </w:p>
    <w:p>
      <w:r>
        <w:t>79. This is particularly why the risks of vertical effects can be ruled out between the upstream markets for the production and marketing of rapeseed meal and the downstream markets for the production and marketing of complete animal feed, on which Avril is solely active. Indeed, according to the notifying party's estimates, its market share is below 30% in these latter markets. Furthermore, the target makes most of its sales of meal in the [confidential] of France, mainly in the [confidential] region. In the [confidential] region, Avril has four complete feed manufacturing plants. However, Avril's positions in the catchment areas around these [confidential] plants are also always below 30% according to the notifying party's estimates.</w:t>
      </w:r>
    </w:p>
    <w:p>
      <w:r>
        <w:t>80. Several customers of the parties interviewed as part of the market test, however, pointed out the loss of one of their independent suppliers, which they believe could strengthen the negotiating power of the new entity. One of them states: “[this project] will concentrate the rapeseed crushing players at the national level, leading to a monopoly in France.” Nevertheless, most of them admit the existence of potential alternatives, even if this would result in an increase in imports. This confirms the supranational dimension of this market and the absence of a monopoly by the new entity in it. The same third party thus mentions “the need to diversify our supply sources in order to maintain competitiveness in our territory. This diversification will therefore lead to an increase in imports.”</w:t>
      </w:r>
    </w:p>
    <w:p>
      <w:r>
        <w:t>81. Given these elements, the vertical risks between the upstream markets for the manufacturing and marketing of rapeseed meal and the downstream markets for the production and marketing of complete animal feed can be ruled out.</w:t>
      </w:r>
    </w:p>
    <w:p>
      <w:r>
        <w:t>82. On the other hand, the examination of vertical risks between the upstream markets for the manufacturing and marketing of rapeseed crude oil (BRSO) and the downstream markets for the manufacturing and marketing of packaged rapeseed oil (PRSO) is detailed below, given Avril's strong positions in these latter markets, notably through its brand “Lesieur.”</w:t>
      </w:r>
    </w:p>
    <w:p>
      <w:r>
        <w:t>83. Indeed, Avril's market shares in these downstream markets are as follows:</w:t>
      </w:r>
    </w:p>
    <w:p>
      <w:r>
        <w:t>Groupe Avril - Marketing of seed oils</w:t>
        <w:br/>
        <w:t>France / 2024 packaged</w:t>
        <w:br/>
        <w:t>Market (kT) Volume (kT) Market Share (%)</w:t>
        <w:br/>
        <w:t>Total rapeseed oil</w:t>
        <w:br/>
        <w:t>[...] [...] [20-30]%</w:t>
        <w:br/>
        <w:t>GMS [...] [...] [30-40]%</w:t>
        <w:br/>
        <w:t>including MDF [...] [...] [80-90]%</w:t>
        <w:br/>
        <w:t>including MDD [...] [...] [20-30]%</w:t>
        <w:br/>
        <w:t>RHF [...] [...] [40-50]%</w:t>
        <w:br/>
        <w:t>IAA [...] [...] [5-10]%</w:t>
      </w:r>
    </w:p>
    <w:p>
      <w:r>
        <w:t>1. ON THE RISK OF LOCKING ACCESS TO CUSTOMERS</w:t>
        <w:br/>
        <w:t>84. A scenario of locking access to customers would involve Avril sourcing rapeseed crude oil (BRSO) only from the new entity or reducing its supply from competing suppliers after the operation. Such a strategy could lead to deteriorating the situation of the new entity's competitors in the markets for the production and marketing of rapeseed crude oil by restricting their outlets.</w:t>
      </w:r>
    </w:p>
    <w:p>
      <w:r>
        <w:t>85. However, if the new entity were to implement such a strategy, it would not have the effect of changing the market structure by excluding competing suppliers of rapeseed crude oil, as the new entity will not be an essential outlet for them.</w:t>
      </w:r>
    </w:p>
    <w:p>
      <w:r>
        <w:t>86. Indeed, they have other outlets for marketing rapeseed crude oil, as this product is used for other industrial applications beyond just the production of packaged vegetable oils, notably for the agri-food industry or other industries such as energy or other technical applications such as chemistry or the cosmetics industry.</w:t>
      </w:r>
    </w:p>
    <w:p>
      <w:r>
        <w:t>87. Furthermore, Lesieur already concentrates the [confidential] of its supplies of refined rapeseed oil internally with Saipol and its own refining capacities. Therefore, Lesieur's strong pre-existing position in the packaged rapeseed oil markets does not affect Avril's competing players in the upstream market for rapeseed crude oil.</w:t>
      </w:r>
    </w:p>
    <w:p>
      <w:r>
        <w:t>88. The operation is therefore not likely to create or strengthen a risk of locking access to customers for Avril's competitors in the markets for the production and marketing of rapeseed crude oil.</w:t>
      </w:r>
    </w:p>
    <w:p>
      <w:r>
        <w:t>2. ON THE RISK OF LOCKING ACCESS TO INPUTS</w:t>
        <w:br/>
        <w:t>89. A scenario of locking access to inputs would involve the new entity ceasing or reducing sales of rapeseed crude oil (BRSO) from the new entity to Avril's competitors in the downstream markets for the production and marketing of packaged rapeseed oil (PRSO).</w:t>
      </w:r>
    </w:p>
    <w:p>
      <w:r>
        <w:t>90. However, as analyzed above, the new entity will not have a crucial position in the market for the manufacturing and marketing of BRSO: in the free market excluding self-consumption, the new entity will have a market share below the threshold of 30%, whether at the national or regional level. In this market, it will face competition from international groups, particularly Bunge and Cargill: as the notifying party recalls, the new entity will have no economic incentive to cease its sales of unbranded oils, which would impact its competitiveness against these competitors.</w:t>
      </w:r>
    </w:p>
    <w:p>
      <w:r>
        <w:t>91. Finally, Avril primarily markets its unbranded oils to players from the agri-industrial sector. At the group level, customers active in the packaging of vegetable oils are marginal, and most of them source internally for their needs in unbranded refined oil or from traders. Therefore, if the new entity were to cease its supplies of unbranded oils to these customers, it would have no impact on their business, as they have many alternative suppliers.</w:t>
      </w:r>
    </w:p>
    <w:p>
      <w:r>
        <w:t>92. One customer interviewed as part of the market test, however, believes that “in a large part of France, a merger between Saipol, Avril Group, and Valtris will create a situation of quasi-monopoly.” But, as analyzed above, the geographic market is broader than France: it is necessary to take into account the current and potential competition from suppliers located in Belgium, Germany, and the Netherlands who are able to supply rapeseed crude oil to the current customers of the parties.</w:t>
      </w:r>
    </w:p>
    <w:p>
      <w:r>
        <w:t>93. The operation is therefore not likely to create or strengthen a risk of locking access to inputs for Avril's competitors in the markets for the production and marketing of packaged rapeseed oil.</w:t>
      </w:r>
    </w:p>
    <w:p>
      <w:r>
        <w:rPr>
          <w:b/>
        </w:rPr>
        <w:t>[Pages 16–16]</w:t>
      </w:r>
    </w:p>
    <w:p>
      <w:r>
        <w:t xml:space="preserve">DECIDES  </w:t>
        <w:br/>
        <w:t xml:space="preserve">Single Article: The operation notified under number 25-176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