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https://www.autoritedelaconcurrence.fr/fr/decision-de-controle-des-concentrations/relative-la-prise-de-controle-exclusif-par-le-groupe-2</w:t>
      </w:r>
    </w:p>
    <w:p>
      <w:r>
        <w:t>Pages translated : 17</w:t>
      </w:r>
    </w:p>
    <w:p/>
    <w:p>
      <w:r>
        <w:rPr>
          <w:b/>
        </w:rPr>
        <w:t>[Pages 1–3]</w:t>
      </w:r>
    </w:p>
    <w:p>
      <w:r>
        <w:t xml:space="preserve">FRENCH REPUBLIC  </w:t>
        <w:br/>
        <w:t xml:space="preserve">Decision No. 13-DCC-23 of February 28, 2013  </w:t>
        <w:br/>
        <w:t xml:space="preserve">regarding the exclusive control by the cooperative group Agrial  </w:t>
        <w:br/>
        <w:t>of several companies of the Bakkavör group</w:t>
      </w:r>
    </w:p>
    <w:p>
      <w:r>
        <w:t xml:space="preserve">The Competition Authority,  </w:t>
        <w:br/>
        <w:t xml:space="preserve">Having regard to the notification file sent to the merger service on December 13, 2012, and declared complete on February 13, 2013, concerning the exclusive control of the companies Crudi, 5ème Saison Mâcon, 5ème Saison Saint-Pol, and Bakkavör France on the one hand and the Spanish company Sogesol SA on the other hand, by the cooperative group Agrial, formalized by a share transfer protocol dated November 22, 2012;  </w:t>
        <w:br/>
        <w:t xml:space="preserve">Having regard to Book IV of the Commercial Code relating to the freedom of prices and competition, and in particular its Articles L. 430-1 to L. 430-7;  </w:t>
        <w:br/>
        <w:t xml:space="preserve">Having regard to the additional elements transmitted by the parties during the investigation;  </w:t>
        <w:br/>
        <w:t>Adopts the following decision:</w:t>
      </w:r>
    </w:p>
    <w:p>
      <w:r>
        <w:t xml:space="preserve">I. The companies concerned and the operation  </w:t>
        <w:br/>
        <w:t xml:space="preserve">1. Agrial is an agricultural cooperative with approximately 10,000 cooperative farmers located in the departments of Manche, Calvados, Orne, Ille-et-Vilaine, Mayenne, Sarthe, Indre-et-Loire, Eure, and Seine-Maritime. As the head of a cooperative group comprising around sixty companies, Agrial operates in numerous agricultural and agri-food sectors, notably in the sectors of milk, beef and pork, poultry, cereals, vegetables, and beverages. Agrial also provides its members with products and services such as seeds, animal feed, agricultural supplies, agricultural equipment, and rural distribution. Agrial develops its vegetable activity through, in particular, a producer organization. It has industrial and commercial tools through its subsidiaries Prim’co and Florette SAS. Prim’co and its subsidiaries produce and market salads and other first-range vegetables. Florette SAS and its subsidiaries produce and market salads, other vegetables, and fourth-range aromatic herbs, fifth-range vegetables (fresh soups and purees), as well as fresh deli products. In France, Agrial has three industrial sites dedicated to the production of fourth-range products, located in Lessay (Manche), L'Isle-sur-la-Sorgue (Vaucluse), and Cambrai (Nord).  </w:t>
        <w:br/>
        <w:t xml:space="preserve">2. The target companies, Crudi, 5ème Saison Mâcon, 5ème Saison Saint-Pol, Bakkavör France1 (hereinafter referred to collectively as "Bakkavör France") and Sogesol SA belong to the English group Bakkavör Foods2, specialized in ready-to-use fresh products. Sogesol SA is a company active in Spain, while the others are active in France. The company Crudi primarily produces and markets fourth-range salads, first and fourth-range vegetables, fruits, fourth-range aromatic herbs, prepared ingredients, as well as fresh deli products (snacks and fresh soups). The companies 5ème Saison Mâcon and 5ème Saison Saint-Pol produce and market first and fourth-range salads as well as fourth-range vegetables intended for mass distribution.  </w:t>
        <w:br/>
        <w:t xml:space="preserve">3. The present operation, formalized by a transfer protocol dated November 22, 2012, consists of the acquisition by the cooperative company Agrial of 100% of the capital and voting rights of the companies Bakkavör France and Sogesol SA from the English company Bakkavör Foods Limited. As it results in the exclusive control of Bakkavör France and Sogesol SA by Agrial, the notified operation constitutes a concentration within the meaning of Article L.430-1 of the Commercial Code.  </w:t>
        <w:br/>
        <w:t>4. The companies concerned together achieve a total worldwide turnover of more than 150 million euros (Agrial group: […] euros for the fiscal year ending December 31, 2011; Bakkavör France and Sogesol SA: […] euros for the same period). At least two of these companies achieve a turnover in France exceeding 50 million euros (Agrial group: […] euros for the fiscal year ending December 31, 2011; Bakkavör France and Sogesol SA: […]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sector of the supply of salads and vegetables and in the marketing of salads and vegetables to mass distribution and the out-of-home catering sector (RHF).  </w:t>
        <w:br/>
        <w:t xml:space="preserve">1 The company Bakkavör France is the parent company of 5ème Saison Mâcon and has no independent activity.  </w:t>
        <w:br/>
        <w:t>2 The Bakkavör Foods group acquired Geest Foods Ltd in 2005, which owned the companies Crudi, Sogesol, 5ème Saison, and 5ème Saison Saint-Pol, and then in 2007, the companies 5ème Saison Mâcon and Bakkavör France.</w:t>
      </w:r>
    </w:p>
    <w:p>
      <w:r>
        <w:t xml:space="preserve">A. THE MARKETS FOR THE SUPPLY OF SALADS AND VEGETABLES  </w:t>
        <w:br/>
        <w:t xml:space="preserve">1. PRODUCT MARKETS  </w:t>
        <w:br/>
        <w:t xml:space="preserve">6. The market for the supply of fresh vegetables involves producers of various vegetables and all buyers of fresh vegetables. Both the European3 and French4 competition authorities have considered distinguishing certain products within fresh vegetables, but the question has always remained open.  </w:t>
        <w:br/>
        <w:t xml:space="preserve">7. The parties consider that the market for the supply of salad is distinct from the market for the supply of other vegetables. Indeed, the fragility of salads and the resulting logistical constraints could justify distinguishing the market for the supply of salads from that of the supply of other vegetables.  </w:t>
        <w:br/>
        <w:t xml:space="preserve">8. Furthermore, it has not been deemed relevant to date to segment the overall supply market according to the use and subsequent processing technique of the products (canned goods, preserved products, frozen products, or prepared dishes)5.  </w:t>
        <w:br/>
        <w:t xml:space="preserve">9. In this case, the parties to the operation believe that there is no reason to distinguish the supplies made with a view to marketing in the first range (fresh, raw, unwashed, and unpeeled) from those made with a view to marketing in the fourth range (fresh, raw, washed, and peeled). According to them, the varieties and cultivation methods are the same. Moreover, the majority of farmers would cultivate products intended for both the first and fourth ranges and are capable of switching from the production of one range to the other.  </w:t>
        <w:br/>
        <w:t xml:space="preserve">10. Suppliers and competitors of the new entity, on the other hand, emphasize that first-range fresh salads and vegetables are sold at auction, with the selling price varying daily, while fresh salads and vegetables intended for the fourth range are subject to annual or seasonal contracts with prices set in advance for the duration of the contract. The production of products intended for the fourth range thus provides producers with greater security of outlets and prices. However, this difference in the mode of marketing is not sufficient to justify a segmentation for all vegetables, as the products sold are identical. On the other hand, regarding salad, the results of the market test suggest that the fragility of the product and the quality requirements imposed for the fourth range effectively require favoring certain varieties and adopting more stringent cultivation methods (different harvesting stage, specific size and whiteness requirements, different spacing between seeds). Consequently, while unsold production in the fourth range can generally be sold in the first range, it is at the cost of a loss of value for the producer, and the reverse is not true.  </w:t>
        <w:br/>
        <w:t xml:space="preserve">11. In any case, the exact definition of the supply markets can be left open as the conclusions of the analysis will remain unchanged regardless of the delimitations retained.  </w:t>
        <w:br/>
        <w:t xml:space="preserve">3 Decisions of the Commission No. COMP/M.4216 - CVC/Bocchi/De Weide Blik of May 30, 2006, and No. COMP/M.5199 - De Weide Blik/Atlanta of August 11, 2008.  </w:t>
        <w:br/>
        <w:t xml:space="preserve">4 Decision of the Competition Authority No. 11-DCC-106 of July 6, 2011, regarding the exclusive control of the "frozen fruits and vegetables" activities of the Union Fermière Morbihannaise by PinguinLutosa.  </w:t>
        <w:br/>
        <w:t>5 Above-mentioned Decision No. 11-DCC-106.</w:t>
      </w:r>
    </w:p>
    <w:p>
      <w:r>
        <w:rPr>
          <w:b/>
        </w:rPr>
        <w:t>[Pages 4–6]</w:t>
      </w:r>
    </w:p>
    <w:p>
      <w:r>
        <w:t>2. GEOGRAPHICAL MARKETS</w:t>
        <w:br/>
        <w:t>12. The Competition Authority considered a regional delimitation of the markets for the supply of fresh fruits and vegetables due to transportation costs and the risk of product spoilage6.</w:t>
        <w:br/>
        <w:t>13. The notifying party argues in this case that salads and other vegetables can be transported over long distances, at least at the national level.</w:t>
        <w:br/>
        <w:t>14. It is noted that the supply distance from the processing sites of Agrial and Bakkavör France varies very little by season for vegetables (excluding salads) and ranges between […] kilometers for the Saint Pol de Léon site and nearly […] km for the Perpignan site. Production remains predominantly French, including in winter, although the notifying party notes that a significant portion of supplies comes from Spain.</w:t>
        <w:br/>
        <w:t>15. Regarding salads, seasonal variations are very high. Thus, in winter, the average distance separating the sites of Agrial and Bakkavör France from the supply basins is generally greater than […] kilometers and ranges between […] km for the Perpignan site and […] km for the Cambrai site. Moreover, a significant portion of the salads purchased in winter by fourth-range operators are produced in Spain or Italy. In summer, the average distance between salad producers and the processing sites of Agrial and Bakkavör is generally less than […] kilometers and varies between […] kilometers for the Saint Pol de Léon site and […] kilometers for the Isle sur Sorgue site, depending on the proximity of the factories to the production basins7. Indeed, during the summer period, all countries are capable of producing salads, so the European supply also comes from the northern regions of France as well as from Germany and Belgium. To reduce logistical costs, the majority of the salad supplies for the parties and their competitors are therefore sourced around the processing basins.</w:t>
        <w:br/>
        <w:t>16. In this case, given these seasonal constraints, the effects of the operation will be analyzed on the upstream supply markets both at the national and sub-national levels. The same will be done for other vegetables, noting that the exact geographical delimitation of the markets can be left open in the absence of competition issues.</w:t>
      </w:r>
    </w:p>
    <w:p>
      <w:r>
        <w:t>B. MARKETS FOR THE MARKETING OF FRESH PRODUCTS</w:t>
        <w:br/>
        <w:t>1. PRODUCT MARKETS</w:t>
        <w:br/>
        <w:t>17. The parties to the operation both market salads, aromatic herbs, and other vegetables in first and/or fourth range (1) as well as fresh deli products, such as meal salads, snackable vegetables, and fresh soups (2).</w:t>
        <w:br/>
        <w:t>18. The notifying party specified that certain activities were discontinued during the year 2012 by Agrial or Bakkavör, which reduces the number of identified overlaps. For Agrial, this notably includes fourth-range fruits and purees sold under private label to mass-market retailers. For Bakkavör, this concerns the marketing to mass-market retailers of fourth-range aromatic herbs, private label purees, and sauces. However, even if the cessation of these activities were not to be definitive, the low presence of the parties in these markets allows for the exclusion of any competitive risk, and it does not appear necessary to analyze them more precisely.</w:t>
      </w:r>
    </w:p>
    <w:p>
      <w:r>
        <w:t>a) The markets for the marketing of fresh vegetables</w:t>
        <w:br/>
        <w:t>19. The activities of Agrial and Bakkavör overlap in the marketing of fresh vegetables, particularly salads. Several distinctions have been considered by the competition authorities regarding the different distribution channels, the type of technology used for processing these products, the different categories of products concerned, or the commercial positioning of the products distributed in mass-market retailers.</w:t>
      </w:r>
    </w:p>
    <w:p>
      <w:r>
        <w:t>Distinction according to the distribution channel</w:t>
        <w:br/>
        <w:t>20. Regarding food products, national decision-making practice8 has considered a segmentation according to the distribution channel, namely the agri-food industry (hereinafter "IAA"), large and medium-sized retailers (hereinafter "GMS"), and out-of-home catering (hereinafter "RHF"). Such segmentation is justified by the existence of different needs depending on the type of buyers (notably in terms of volumes, sizing, and packaging).</w:t>
        <w:br/>
        <w:t>21. The notifying party considers that it is not necessarily relevant to distinguish according to the distribution channel, particularly regarding fourth-range products. It believes that the products marketed are very similar in GMS and RHF and that their mode of production as well as their delivery requires identical logistics.</w:t>
        <w:br/>
        <w:t>22. However, given particularly the differences in terms of packaging, the role played by brands, and positioning towards customers, it is appropriate to analyze the effects of the operation by distinguishing the different distribution channels.</w:t>
        <w:br/>
        <w:t>23. In this case, the parties both market vegetables, salads, and aromatic herbs to GMS and RHF.</w:t>
      </w:r>
    </w:p>
    <w:p>
      <w:r>
        <w:t>Distinction according to the type of technology used (or product range)</w:t>
        <w:br/>
        <w:t>24. National decision-making practice9 has considered it relevant to operate a segmentation according to the technology used (or product range) for the processing of fruits and vegetables. It has thus identified the following five markets: fresh fruits and vegetables (first range), canned fruits and vegetables (second range), frozen fruits and vegetables (third range), fresh, raw, washed, and peeled fruits and vegetables (fourth range), as well as sterilized and vacuum-pasteurized fruits and vegetables (fifth range). Such segmentation is based on the existence of differences in price and modes of preservation and use between these different types of products10.</w:t>
      </w:r>
    </w:p>
    <w:p>
      <w:r>
        <w:t>25. The notifying party considers that a distinction according to the type of preparation is not relevant for any of the products concerned by the operation (vegetables, aromatic herbs, and salads). It indeed estimates that price and quality are the main criteria for consumer choice between first-range and fourth-range products and that these products therefore exert significant competitive pressure on each other. Regarding salads more specifically, it cites an Interfel study11 which explains an increase in fourth-range salad sales during March and April 2009 due to the scarcity of supply and a slight increase in prices of first-range salad. It adds that fourth-range and first-range salads are generally found in the same shelf space and that there are so-called first-and-a-half range salads (packaged salads that are neither washed nor cut) that create a continuum between first and fourth range in terms of quality and price.</w:t>
        <w:br/>
        <w:t>26. Nevertheless, it emerges from market tests that GMS use different contracts for their supplies of first-range products and fourth-range products.</w:t>
        <w:br/>
        <w:t>27. Specifically regarding salads, the minister12 distinguished the two types of products due to, on the supply side, the use of a specific manufacturing process, all phases of which are governed by common hygiene and safety rules, and on the demand side, the specific services provided by fourth-range salads that do not require prior preparation and are sometimes pre-mixed.</w:t>
        <w:br/>
        <w:t>28. The market test confirms that, for most GMS, the service offered by fourth-range salads is a more important factor than price or quality in the consumer's purchasing decision. Similarly, RHF players confirm that fourth-range products meet a specific need for convenience and quality standardization. However, GMS mention the existence of a certain trade-off between first-range salads and fourth-range salads depending on the seasons. The consumption of first-range salads appears, indeed, to be higher in summer due to the greater freshness of the product. Some consumers of fourth-range salad in winter may therefore be inclined to favor first-range salads in summer. The price difference between the ranges, with unit prices of fourth-range products being significantly higher than those of first-range salads, thus appears as a more important choice variable in summer.</w:t>
        <w:br/>
        <w:t>29. Regarding aromatic herbs, the notifying party emphasizes that the herbs marketed in first range are almost identical to those offered in fourth range, which are simply washed. This viewpoint is confirmed by competitors surveyed in the context of the market test. However, from the demand perspective (in this case, only RHF operators are concerned), the responses are more nuanced, with most using either first-range or fourth-range herbs exclusively, depending on whether they prioritize convenience or the organoleptic qualities of the product.</w:t>
        <w:br/>
        <w:t xml:space="preserve">30. Regarding vegetables (excluding salads), they also meet a specific need for RHF but their specificity is lesser for GMS. Consumer demand remains indeed very low for this type of product, with the entire GMS market being limited to approximately 10 million euros for GMS compared to nearly 40 million for RHF. GMS buyers describe fourth-range vegetables (excluding salad) as a niche offer, which struggles to develop, notably because consumers do not perceive the service provided as very different from that provided by first-range vegetables. The main players present in this market have confirmed its lack of economic attractiveness. In this context, it is appropriate to consider that the distribution activity of </w:t>
        <w:br/>
        <w:t>11 Interfel Study, Salad and Winter Lamb's Lettuce, 2009-2010, p.10.</w:t>
        <w:br/>
        <w:t>12 Letter from the minister C 2003-19 of March 31, 2003, regarding a concentration in the prepared salad sector.</w:t>
      </w:r>
    </w:p>
    <w:p>
      <w:r>
        <w:rPr>
          <w:b/>
        </w:rPr>
        <w:t>[Pages 7–9]</w:t>
      </w:r>
    </w:p>
    <w:p>
      <w:r>
        <w:t>Fourth-range vegetables in large retail chains do not at this stage constitute a distinct market from the commercialization of first-range vegetables. However, regarding the distribution channel of the out-of-home catering sector (RHF), the market test confirms the existence of a specific and sustained demand for fourth-range vegetables. Indeed, the professional clientele surveyed often consumes either first-range vegetables or fourth-range vegetables exclusively, this choice having a significant impact on the equipment necessary for catering professionals and on the organization of meal preparation.</w:t>
      </w:r>
    </w:p>
    <w:p>
      <w:r>
        <w:t>31. Consequently, the competitive analysis will be conducted by distinguishing according to the type of preparation/range for salads and aromatic herbs sold to large retail chains, even though it should be noted that there is a certain permeability between these first and fourth-range markets, particularly in summer. This distinction will also be made for salads and for other vegetables intended for the RHF. However, regarding the vegetables sold to large retail chains, a global market will be considered, including both first and fourth ranges.</w:t>
      </w:r>
    </w:p>
    <w:p>
      <w:r>
        <w:t>Distinction according to the type of products</w:t>
      </w:r>
    </w:p>
    <w:p>
      <w:r>
        <w:t>32. A segmentation between different fourth-range vegetables has already been considered for certain vegetables presenting specificities in terms of use or supply structure13, notably mushrooms14, potatoes15, and salads16.</w:t>
      </w:r>
    </w:p>
    <w:p>
      <w:r>
        <w:t>33. In this case, salads constitute the bulk of the fourth-range activities of Agrial and Bakkavör ([…] % for Agrial and […] % for Bakkavör). A distinction between fourth-range salads and other vegetables is all the more justified in the channel of large retail chains, as, as noted above, the conditions of competitive play differ significantly between the products concerned, with the low development of other fourth-range vegetables not justifying a separate analysis from that of first-range vegetables, unlike salads. In the RHF channel, the elements gathered during the investigation also confirm the relevance of a distinction between fourth-range salads and other fourth-range vegetables.</w:t>
      </w:r>
    </w:p>
    <w:p>
      <w:r>
        <w:t>34. Regarding a possible segmentation according to salad varieties within the fourth range, the notifying party considers that it is not relevant because, from the consumers' perspective, the varieties are largely substitutable for one another and, from the supply perspective, the manufacturing and marketing process is strictly identical regardless of the salad variety concerned. Fourth-range salad producers are indeed able to provide a complete range of products. The parties to the operation thus both offer young shoots, lettuces, chicories, or mixtures of different varieties. Large retail chains also consider that the competitive conditions are not significantly different depending on the salad varieties considered.</w:t>
      </w:r>
    </w:p>
    <w:p>
      <w:r>
        <w:t>35. Similarly, concerning fourth-range vegetables (excluding salads) intended for the RHF, the elements from the file do not indicate that identifying markets restricted to one or more vegetable varieties would alter the conclusions of the competitive analysis.</w:t>
      </w:r>
    </w:p>
    <w:p>
      <w:r>
        <w:t>Distinction according to the commercial positioning of products sold to large retail chains</w:t>
      </w:r>
    </w:p>
    <w:p>
      <w:r>
        <w:t>36. In the market for the commercialization of fourth-range salads to large retail chains, the parties are present under their own brands (hereinafter "MDF") and manufacture products under private label (hereinafter "MDD"). Agrial and Bakkavör also offer fourth-range salads sold under low-cost brand (MPP) and, more marginally, under hard discount brand (MHD)17.</w:t>
      </w:r>
    </w:p>
    <w:p>
      <w:r>
        <w:t>37. In accordance with the decision-making practice related to other food product markets18, it is appropriate to consider a possible segmentation of the market for the sale of fourth-range salads to large retail chains according to the commercial positioning of the products and to assess whether a supplier holding a significant position in one of these segments would be able to exert market power over distributors or whether this market power would face competition from suppliers present in other segments.</w:t>
      </w:r>
    </w:p>
    <w:p>
      <w:r>
        <w:t>38. As a preliminary point, it should be noted that the notifying party considers that there is no need to distinguish MDD from MPP and MHD, as the differences in quality and price remain limited both at the retail and wholesale stages. The investigation did not identify elements that would challenge this position. The analysis will therefore be conducted on a single segment including both salads sold under MDD and those sold under MPP and MHD.</w:t>
      </w:r>
    </w:p>
    <w:p>
      <w:r>
        <w:t>39. As has been observed for many other products, the supply modalities of the large retail chain circuit differ between MDD and MDF. Indeed, MDD are subject to a specification defined by the buyer (the large retail chain), which details the expected characteristics of the product. The supplier therefore only intervenes in accordance with the specification and has, unlike MDF suppliers, no role in defining the commercial strategies of these brands (decisions on launching new products, communication policy, etc.). Furthermore, unlike MDF, the identity of the operator supplying a chain with fourth-range salads sold under MDD remains unknown to the final consumer. Additionally, products sold under MDD are generally subject to tenders, whereas products sold under MDF are subject to a listing contract within the framework of negotiated agreements where the brand and promotional efforts play an important role. The market test conducted in the context of this operation confirms that MDD purchases and MDF purchases are often entrusted to distinct teams within each chain.</w:t>
      </w:r>
    </w:p>
    <w:p>
      <w:r>
        <w:t>40. However, the market power held by a given supplier also depends on factors other than the organization by large retail chains of their supply. Firstly, while the analysis of the operation concerns exclusively the upstream market of supplying large retail chains, the competitive pressure that MDF and MDD producers may exert on each other is closely influenced by consumer behavior in the downstream markets connecting large retail chains with customers, and thus by the substitutability, from the consumers' perspective, between the different products. Negotiations between large retail chains and their suppliers therefore take place in a different competitive context depending on the degree of differentiation of the products in terms of taste, quality, price, or packaging and according to the reputation of the manufacturer brands.</w:t>
      </w:r>
    </w:p>
    <w:p>
      <w:r>
        <w:t>41. Secondly, on the supply side, the fact that the same manufacturers supply large retail chains with both MDD products and their own brand products may constitute an indication of the belonging of the two types of products to the same market.</w:t>
      </w:r>
    </w:p>
    <w:p>
      <w:r>
        <w:t>42. The notifying party considers that there is no need to segment the market according to the commercial positioning of fourth-range salads. Indeed, it considers that the quality is very comparable between MDD and MDF, that consumers are not attached to brands regarding this type of product, and that they freely arbitrate between the two categories according to the evolution of relative prices. To support these qualitative arguments, it provides an econometric study19 aimed at estimating the relationship between, on the one hand, the relative weight of sales of salads under MDF compared to sales of salads under MDD and, on the other hand, the relative price of salads under MDF and salads sold under MDD20. According to the results of this study, when the relative price of MDF increases, their relative sales compared to MDD decrease. However, regardless of the degree of substitutability between these two products, there would indeed be a decrease in MDF sales in the event of a price increase, without affecting MDD sales. As a result, the relative weight of MDF compared to MDD would decrease while their relative price would increase, even in the absence of a shift towards MDD. This type of study does not therefore allow for conclusions to be drawn about the degree of substitutability of the products in question.</w:t>
      </w:r>
    </w:p>
    <w:p>
      <w:r>
        <w:t>43. The notifying party also provided the Authority with detailed data on the evolution of prices and volumes of the products in question between 2009 and 2012. On this basis, a demand model21 allowing for the evaluation of direct and cross-price elasticities22 between the different products present on the market was estimated. This approach allows quantifying, based on past consumer behaviors, the consumption shifts (or "diversion ratio") that occur when the relative prices of a group of products change, as well as the evolution of these consumption shifts. In this case, the results confirm that in the event of price increases for Florette brand products, the consumption shift towards MDD would be very significant (around [50-60] to [60-70] % in winter and [60-70] to [70-80] % in summer). MDD therefore exert strong competitive pressure on the Florette brand.</w:t>
      </w:r>
    </w:p>
    <w:p>
      <w:r>
        <w:t>44. Furthermore, all the qualitative elements gathered during the investigation support the idea of a very significant substitutability, from the consumers' perspective, between MDF and MDD.</w:t>
      </w:r>
    </w:p>
    <w:p>
      <w:r>
        <w:t>45. Thus, it has been confirmed that, on the supply side, the suppliers of MDF are generally the same as the suppliers of MDD. Bakkavör is the only supplier to make an exception as it is only significantly present in fourth-range salads sold under MDD.</w:t>
      </w:r>
    </w:p>
    <w:p>
      <w:r>
        <w:rPr>
          <w:b/>
        </w:rPr>
        <w:t>[Pages 10–12]</w:t>
      </w:r>
    </w:p>
    <w:p>
      <w:r>
        <w:t>under private label (MDD). However, this company has recently chosen to develop, under license, the "Géant Vert" brand for bagged salads.</w:t>
      </w:r>
    </w:p>
    <w:p>
      <w:r>
        <w:t>46. From the demand perspective, the responses to the market test generally confirm that the quality difference is not significant between private label products (MDF) and branded products (MDD), as the specifications for sourcing private label products impose criteria that are generally comparable to MDF products. Furthermore, while there is a price difference estimated at 20-25% between products sold under MDF and those sold under MDD, this difference tends to decrease, with MDD prices increasing while MDF prices follow a downward trend. Finally, although the Florette brand is the most recognized by consumers, the market test indicates that the brand is not an important choice criterion for consumers and comes, in any case, after the type of salad, perceived freshness, or the product's expiration date. As a result, there is a very significant penetration rate of MDD in this market (around 60% in value and 70% in volume across all brands).</w:t>
      </w:r>
    </w:p>
    <w:p>
      <w:r>
        <w:t>47. In any case, the question of segmentation according to the commercial positioning of fourth-range salads may remain open, as regardless of the hypothesis considered, the competitive analysis remains unchanged.</w:t>
      </w:r>
    </w:p>
    <w:p>
      <w:r>
        <w:t>* * *</w:t>
      </w:r>
    </w:p>
    <w:p>
      <w:r>
        <w:t>48. Overall, given the overlapping activities of Agrial and Bakkavör, the competitive analysis will be conducted:</w:t>
        <w:br/>
        <w:t>- on the mass-market retail distribution channel:</w:t>
        <w:br/>
        <w:t xml:space="preserve">  o on the market for first-range salads;</w:t>
        <w:br/>
        <w:t xml:space="preserve">  o on the market for fourth-range MDD and MDF salads;</w:t>
        <w:br/>
        <w:t xml:space="preserve">  o on the market for vegetables (excluding salads) including first and fourth range;</w:t>
        <w:br/>
        <w:t>- on the out-of-home catering distribution channel (RHF):</w:t>
        <w:br/>
        <w:t xml:space="preserve">  o on the market for first-range vegetables (excluding salads);</w:t>
        <w:br/>
        <w:t xml:space="preserve">  o on the markets for fourth-range salads, vegetables, and aromatic herbs.</w:t>
      </w:r>
    </w:p>
    <w:p>
      <w:r>
        <w:t>b) The markets for the commercialization of fresh deli products</w:t>
      </w:r>
    </w:p>
    <w:p>
      <w:r>
        <w:t>49. In the deli products sector, both community and national decision-making practices segment the markets based on the manufacturing technology used (canned, frozen, and fresh products). A distinction is also made between distribution channels. Deli products can be sold to mass-market retailers, out-of-home catering (hereinafter "RHF"), and food processing industries. An additional distinction has then been made based on product categories (starters, dishes, etc.). Finally, the question has also been raised regarding the possible subdivision of these markets based on their commercial positioning (manufacturer brands (hereinafter MDF) or distributor brands (hereinafter MDD))24, distribution methods (self-service or counter service), or even the origin of the proposed recipes.</w:t>
      </w:r>
    </w:p>
    <w:p>
      <w:r>
        <w:t>50. In this case, Agrial and Bakkavör both offer fresh deli products to mass-market retailers exclusively in self-service, as well as fresh deli products intended for the RHF.</w:t>
      </w:r>
    </w:p>
    <w:p>
      <w:r>
        <w:t>Segmentation according to the type of products</w:t>
      </w:r>
    </w:p>
    <w:p>
      <w:r>
        <w:t>51. Within fresh deli products, previous decision-making practice25 has segmented based on product categories or recipes, distinguishing starters, ready meals, savory pies, household pasta, pasta and sauces, deli salads, breaded products, and snacks.</w:t>
      </w:r>
    </w:p>
    <w:p>
      <w:r>
        <w:t>52. In this case, Agrial and Bakkavör market meal salads, snackable vegetables in bags or platter form, and fresh soups.</w:t>
      </w:r>
    </w:p>
    <w:p>
      <w:r>
        <w:t>53. The notifying party believes that the meal salads offered by the parties should be considered as snacks because they differ significantly from deli salads. Indeed, meal salads consist of green salad and proteins (meat, cheese...) and are offered in individual packaging, unlike deli salads which are already seasoned (for example: seasoned grated carrots) and are generally produced by specialized companies. It is thus possible to consider that the salads offered by the parties are intended for take-out catering use, just like other products included in the snack category, such as sandwiches. In any case, if meal salads were to be included in deli salads, the competitive analysis would not be affected.</w:t>
      </w:r>
    </w:p>
    <w:p>
      <w:r>
        <w:t>54. The notifying party believes that the snackable vegetables in bags or platter form should also be considered as snacks as they would constitute "snacks," unlike fourth-range vegetables intended to be part of a complete meal. However, particularly regarding sales in mass-market retail, the market test indicates that these products are generally sold in the fourth-range vegetable section (although this may vary depending on the store format) and not in the snack section. Furthermore, the mass-market retail brands surveyed indicated that they source from the same suppliers as for fourth-range vegetables and under the same contracts.</w:t>
      </w:r>
    </w:p>
    <w:p>
      <w:r>
        <w:t>55. Finally, the notifying party considers that fresh soups belong to the category of ready meals.</w:t>
      </w:r>
    </w:p>
    <w:p>
      <w:r>
        <w:t>56. In any case, the exact delimitation of the markets for fresh deli products may remain open as the competitive analysis remains unchanged regardless of the hypothesis considered.</w:t>
      </w:r>
    </w:p>
    <w:p>
      <w:r>
        <w:t>Distinction according to the commercial positioning of products sold to mass-market retailers</w:t>
      </w:r>
    </w:p>
    <w:p>
      <w:r>
        <w:t>57. Regarding a distinction based on the commercial positioning of fresh deli products, the Authority has had the opportunity to emphasize26 that private label products exert a significant competitive pressure on manufacturer brands. It has thus noted the steady increase in the share of private label products in each product category and the low recognition of various manufacturer brands in the deli products sector.</w:t>
      </w:r>
    </w:p>
    <w:p>
      <w:r>
        <w:t>* * *</w:t>
      </w:r>
    </w:p>
    <w:p>
      <w:r>
        <w:t>58. On the various markets for fresh deli products and considering the overlapping activities, the competitive analysis will be conducted:</w:t>
        <w:br/>
        <w:t>- regarding the mass-market retail distribution channel, on the snack market;</w:t>
        <w:br/>
        <w:t>- regarding the out-of-home catering distribution channel (RHF):</w:t>
        <w:br/>
        <w:t xml:space="preserve">  o on the snack market;</w:t>
        <w:br/>
        <w:t xml:space="preserve">  o on the market for ready meals and more specifically fresh soups.</w:t>
      </w:r>
    </w:p>
    <w:p>
      <w:r>
        <w:t>2. THE GEOGRAPHICAL MARKETS</w:t>
      </w:r>
    </w:p>
    <w:p>
      <w:r>
        <w:t>59. Regarding the production and marketing of food products, both national and community competition authorities consistently consider that the markets are of national dimension due to the specific tastes, preferences, and eating habits of consumers in each country, differences in prices between member states, and differences in the structure of supply according to member states.</w:t>
      </w:r>
    </w:p>
    <w:p>
      <w:r>
        <w:t>60. There is no need to challenge this delimitation during the examination of the present operation.</w:t>
      </w:r>
    </w:p>
    <w:p>
      <w:r>
        <w:t>III. The competitive analysis</w:t>
      </w:r>
    </w:p>
    <w:p>
      <w:r>
        <w:t>A. THE UPSTREAM MARKETS FOR THE SUPPLY OF SALADS AND OTHER VEGETABLES</w:t>
      </w:r>
    </w:p>
    <w:p>
      <w:r>
        <w:t>61. The parties are simultaneously active in the national market for the supply of fourth-range salads27 and in the national markets for the supply of first and fourth-range vegetables.</w:t>
      </w:r>
    </w:p>
    <w:p>
      <w:r>
        <w:t>62. At the national level, the notifying party estimates that the new entity will represent approximately [10-20]% of the purchases of salads, both first and fourth range combined. For fourth-range salads intended for processing, the share of purchases by the new entity could only be estimated based on the volumes sold downstream, which include imports, at approximately [40-50]% of the total.</w:t>
      </w:r>
    </w:p>
    <w:p>
      <w:r>
        <w:t>63. For vegetables (excluding salads), the notifying party estimates its share of purchases at less than [0-5]%, both first and fourth range combined.</w:t>
      </w:r>
    </w:p>
    <w:p>
      <w:r>
        <w:t>64. At the regional level, the parties are simultaneously active in Brittany, Pays de la Loire, Languedoc-Roussillon, Provence-Alpes-Côte d'Azur, and Nord Pas de Calais.</w:t>
      </w:r>
    </w:p>
    <w:p>
      <w:r>
        <w:t>27 Bakkavör sources exclusively outside France for first-range salads.</w:t>
      </w:r>
    </w:p>
    <w:p>
      <w:r>
        <w:rPr>
          <w:b/>
        </w:rPr>
        <w:t>[Pages 13–15]</w:t>
      </w:r>
    </w:p>
    <w:p>
      <w:r>
        <w:t>65. For first-range and fourth-range salads, the notifying party estimates that the new entity will represent [40-50] % of purchases in Brittany, [20-30] % in the Pays de la Loire, [5-10] % in Languedoc-Roussillon, and [10-20] % in Provence-Alpes-Côte-d’Azur.</w:t>
        <w:br/>
        <w:t>66. Regarding fourth-range salads alone, the overlaps in supply between the parties are marginal, as the processing plants of the parties are not located in the same regions. Indeed, Bakkavör's plants are located in Brittany (Saint Pol de Léon), in the Pyrénées Orientales (Perpignan), and in Burgundy (Mâcon), while Agrial's plants are located in Provence-Alpes-Côte-d’Azur (Isle sur Sorgue), in Nord Pas de Calais (Cambrai), and in Lower Normandy (Lessay).</w:t>
        <w:br/>
        <w:t>67. For vegetables, the notifying party estimates that in the regions where both Agrial and Bakkavör source, the share of purchases is always below [0-5] %.</w:t>
        <w:br/>
        <w:t>68. In the Northwest quarter (less than 600 km around Bakkavör's plant in Brittany), the activities of the parties overlap to the extent that Agrial is present in the Pays de la Loire and Bakkavör in the Brittany region.</w:t>
        <w:br/>
        <w:t>69. Regarding fourth-range salads, farmers will have alternative outlets to the parties. They will have the option to supply Les Crudettes or Val Nantais (a subcontractor of Bonduelle), both of which have a processing plant in this area. They can also deliver to competing cooperatives or producer organizations (the notifying party estimates there are 14 fruit and vegetable producer organizations in Brittany and 26 in the Pays de la Loire) which, due to their capacity for massification, can reach more distant processing sites and thus offer additional outlets to farmers.</w:t>
        <w:br/>
        <w:t>70. Regarding vegetables, the activities of the parties also overlap in this area, but the volumes concerned are negligible in relation to the total28.</w:t>
        <w:br/>
        <w:t>71. In the Southeast quarter, the activities of the parties also overlap. However, Les Crudettes and Bonduelle also have processing plants in this area, and there is a significant number of cooperatives or producer organizations (the notifying party estimates there are 29 fruit and vegetable producer organizations in Languedoc-Roussillon and 43 in Provence-Alpes-Côte-d’Azur).</w:t>
        <w:br/>
        <w:t>72. Given the above elements, the operation is not likely to harm competition through horizontal effects in the upstream markets for the supply of salads and other vegetables.</w:t>
      </w:r>
    </w:p>
    <w:p>
      <w:r>
        <w:t>B. THE DOWNSTREAM MARKETS FOR THE MARKETING OF FRESH PRODUCTS</w:t>
        <w:br/>
        <w:t>1. MARKETING TO MASS-MARKET RETAILERS</w:t>
        <w:br/>
        <w:t>73. In this sector, the markets concerned by this operation are (1) the market for the marketing of first-range salads; (2) the market for the marketing of fourth-range salads; (3) the market for the marketing of vegetables (first and fourth range combined); (4) the market for the marketing of snacks.</w:t>
        <w:br/>
        <w:t>28 Agrial, […] tons and Bakkavör, […] tons, compared to the total production of vegetables (vegetables intended for the first range and fourth range combined) in the Brittany and Pays de la Loire regions, which amounts to 1,388,463 tons.</w:t>
      </w:r>
    </w:p>
    <w:p>
      <w:r>
        <w:t>a) The market for the marketing of salads to mass-market retailers</w:t>
        <w:br/>
        <w:t>First-range salads</w:t>
        <w:br/>
        <w:t>74. The notifying party has estimated the market share of the new entity to be less than [0-5] % in volume, in a highly fragmented market with at least 228 French suppliers of first-range salads intended for mass-market retailers.</w:t>
        <w:br/>
        <w:t>75. The operation is therefore not likely to harm competition through horizontal effects in the market for the distribution of first-range salads to mass-market retailers.</w:t>
      </w:r>
    </w:p>
    <w:p>
      <w:r>
        <w:t>Fourth-range salads</w:t>
        <w:br/>
        <w:t>76. The table below presents the shares of the parties and their main competitors in the French market for the marketing of fourth-range salads to mass-market retailers.</w:t>
        <w:br/>
        <w:t>Fourth-range salads in volume in 2011 Market MDF Market MDD MDF+MDD</w:t>
        <w:br/>
        <w:t>Agrial [40-50] % [20-30] % [20-30] %</w:t>
        <w:br/>
        <w:t>Bakkavör [0-5] % [30-40] % [20-30] %</w:t>
        <w:br/>
        <w:t>Total [40-50] % [50-60] % [50-60] %</w:t>
        <w:br/>
        <w:t>Bonduelle [30-40] % [20-30] % [20-30] %</w:t>
        <w:br/>
        <w:t>Les Crudettes [10-20] % [20-30] % [20-30] %</w:t>
        <w:br/>
        <w:t>Others - [0-5] % [0-5] %</w:t>
      </w:r>
    </w:p>
    <w:p>
      <w:r>
        <w:t>77. Four main groups are present in the French market for the sale of fourth-range salads to mass-market retailers: Agrial, Bonduelle, Les Crudettes, and Bakkavör. The first three groups are present in both MDF and MDD, while Bakkavör is primarily present in MDD.</w:t>
        <w:br/>
        <w:t>78. The operation leads to a significant strengthening of the new entity in MDD, alongside two other significant operators. The strengthening is, however, weak in MDF, as Bakkavör is hardly present in this segment. Overall, the new entity will hold a market share of approximately [40-50] %, both in MDD and MDF where it has a recognized brand (Florette).</w:t>
        <w:br/>
        <w:t>79. However, the information gathered during the investigation indicates that the parties' customers have sufficient alternatives in this market so that the operation does not pose a risk of increasing their supply prices or decreasing the quality of products or supply conditions.</w:t>
        <w:br/>
        <w:t>80. The parties' competitors, Bonduelle and Les Crudettes, are indeed also present in both MDF and MDD and are able to provide a product range equivalent to that of the parties (different varieties of salads, mixes). Their brands have gained market shares from the Florette brand in recent years, and it appears from the information gathered during the investigation that they can easily develop their sales. They indeed have easy access to raw materials, have excess production capacity, and are likely to invest quickly and at a non-prohibitive cost in new capacities.</w:t>
        <w:br/>
        <w:t>81. Regarding new entries into the market, only the logistical constraints related to product freshness constitute barriers to entry. On the other hand, sourcing salad, production technology, and investment costs do not constitute obstacles. The market test indicates in this regard that operators currently present in the RHF channel but not in the GMS channel (see below) have the know-how and an appropriate logistical organization.</w:t>
      </w:r>
    </w:p>
    <w:p>
      <w:r>
        <w:t>82. Furthermore, it should be noted that mass-market retailers have significant negotiating power over their suppliers in this type of market, particularly regarding their sourcing in MDD. This results from both the concentration of large retail groups, their organization as professional buyers, and the annual renegotiation of MDD supply contracts.</w:t>
        <w:br/>
        <w:t>83. In this case, the study of the margins achieved by Agrial, Bakkavör, and mass-market retailers for fourth-range salad sold in mass-market retailers from 2009 to 201229 indeed suggests that mass-market retailers have significant purchasing power in this market. The margins in the supply chain are indeed higher downstream, that is, for the portion retained by mass-market retailers, than upstream for Agrial. These data also show that a significant market share of Florette-branded products in a retail chain did not have a significant effect on the level of margins achieved on Agrial's sales to that chain.</w:t>
        <w:br/>
        <w:t>84. Retail chains thus have the capacity to adjust their sourcing portfolio, notably by diversifying their suppliers following a concentration operation. In this case, the presence in this market of two significant competitors capable of developing their offer, as well as the potential existence of other suppliers likely to bid for tenders, allows mass-market retailers to leverage this negotiating power.</w:t>
        <w:br/>
        <w:t>85. Given the above elements, the operation is not likely to harm competition through horizontal effects in the market for the distribution of fourth-range salads to mass-market retailers.</w:t>
      </w:r>
    </w:p>
    <w:p>
      <w:r>
        <w:t>b) The market for the distribution of vegetables (excluding salads) of first and fourth range</w:t>
        <w:br/>
        <w:t>86. The notifying party indicated that its market share will remain below [0-5] % in the overall market for the distribution of vegetables (excluding salads) intended for mass-market retailers.</w:t>
        <w:br/>
        <w:t>87. The operation is therefore not likely to harm competition in the market for the distribution of vegetables (excluding salads) of first and fourth range.</w:t>
      </w:r>
    </w:p>
    <w:p>
      <w:r>
        <w:t>c) The market for the distribution of snacks</w:t>
        <w:br/>
        <w:t>88. In this market, Agrial and Bakkavör market snackable vegetables as well as meal salads. Agrial offers its products both under MDF and MDD. In contrast, Bakkavör is only present as a supplier of products sold under MDD.</w:t>
        <w:br/>
        <w:t>89. Regardless of the segmentation considered in terms of the commercial positioning of the products, the new entity will hold a very limited market share: [0-5] % in a market limited to MDF without overlap, less than [0-5] % in a market limited to MDD, and less than [0-5] % in a market encompassing both MDF and MDD.</w:t>
        <w:br/>
        <w:t xml:space="preserve">90. The operation is therefore not likely to harm competition in the market for the distribution of snacks to mass-market retailers. </w:t>
        <w:br/>
        <w:t>29 The data used are from the Nielsen panel regarding retail prices.</w:t>
      </w:r>
    </w:p>
    <w:p>
      <w:r>
        <w:rPr>
          <w:b/>
        </w:rPr>
        <w:t>[Pages 16–17]</w:t>
      </w:r>
    </w:p>
    <w:p>
      <w:r>
        <w:t>2. DISTRIBUTION TO THE OUT-OF-HOME CATERING SECTOR</w:t>
        <w:br/>
        <w:t>a) The markets for the distribution of fresh vegetables</w:t>
        <w:br/>
        <w:t>Fourth-range salads</w:t>
        <w:br/>
        <w:t>91. Following the operation, the new entity will have an estimated market share of [30-40]% in volume ([20-30]% for Bakkavör and [5-10]% for Agrial) and [30-40]% in value ([20-30]% for Bakkavör and [5-10]% for Agrial) in the French market for the commercialization of fourth-range salads to the out-of-home catering sector (RHF).</w:t>
        <w:br/>
        <w:t>92. Furthermore, several significant competitors are active in this market. These mainly include Rosée des Champs ([20-30]% in volume and [20-30]% in value), and Vitacroc ([5-10]% in volume and [5-10]% in value), both specialized in the RHF channel, as well as Bonduelle ([5-10]% in volume and [10-20]% in value) and Les Crudettes ([5-10]% in volume and [5-10]% in value). All surveyed competitors indicated that they have excess production capacity, except for one whose market share is very limited in any case.</w:t>
        <w:br/>
        <w:t>93. The clients of the parties mostly confirmed that they would have sufficient alternatives for their purchases of fourth-range salads after the operation. Moreover, it should be noted that Agrial and Bakkavör were not the closest competitors in this market prior to the operation. Indeed, Agrial generates the majority of its revenue ([…]%) from wholesalers and Cash &amp; Carry chains. Conversely, Bakkavör generates […]% of its revenue from a single client, a major player in commercial catering.</w:t>
        <w:br/>
        <w:t>First and fourth-range vegetables (excluding salads)</w:t>
        <w:br/>
        <w:t>94. In the overall market for the distribution of first and fourth-range vegetables to the RHF, the notifying party indicated that its market share will remain below [0-5]%.</w:t>
        <w:br/>
        <w:t>95. In the market for the distribution of first-range vegetables to the RHF, the notifying party indicated that its market share will remain below [0-5]%.</w:t>
        <w:br/>
        <w:t>96. In the market for the distribution of fourth-range vegetables intended for the RHF, the notifying party estimated the market share of the new entity at [5-10]% in volume and in value. Its main competitors are Coop de Doué ([20-30]%), Vitacroc ([5-10]%), Bonduelle, and Pomona ([0-5]% each).</w:t>
        <w:br/>
        <w:t>Fourth-range aromatic herbs</w:t>
        <w:br/>
        <w:t>97. In the market for the distribution of fourth-range aromatic herbs, the new entity will have a market share of less than [5-10]% in volume and [10-20]% in value, resulting from a very slight strengthening, with Bakkavör having a market share of less than [0-5]%. Its main competitors include the Groupe Mandar, Auda, the GIE Les chênes Verts, Marais, France Nord, and Terano.</w:t>
        <w:br/>
        <w:t>98. Given the above elements, the operation is not likely to harm competition through horizontal effects in the various markets for the distribution of fresh vegetables to the RHF.</w:t>
        <w:br/>
        <w:t>b) The markets for the distribution of fresh deli products</w:t>
        <w:br/>
        <w:t>99. In the market for the distribution of snacks, the new entity will have a market share of approximately [0-5]% in volume.</w:t>
      </w:r>
    </w:p>
    <w:p>
      <w:r>
        <w:t>100. Regarding fresh soups marketed to the RHF, the new entity will have an anecdotal market share (less than [0-5]%). The main player in this market is the PepsiCo group (Alvalle) with 57% market share. The analysis would not be altered if it were to be conducted on the overall market for prepared meals intended for the RHF, including in particular the purees offered by Agrial.</w:t>
        <w:br/>
        <w:t>101. Therefore, the operation is not likely to harm competition through horizontal effects in the various markets for the distribution of fresh deli products to the RHF.</w:t>
        <w:br/>
        <w:t>DECIDES</w:t>
        <w:br/>
        <w:t>Sole Article: The operation notified under number 12-151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