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https://www.autoritedelaconcurrence.fr/fr/decision-de-controle-des-concentrations/relative-la-prise-de-controle-exclusif-par-le-groupe-3</w:t>
      </w:r>
    </w:p>
    <w:p>
      <w:r>
        <w:t>Pages translated : 11</w:t>
      </w:r>
    </w:p>
    <w:p/>
    <w:p>
      <w:r>
        <w:rPr>
          <w:b/>
        </w:rPr>
        <w:t>[Pages 1–3]</w:t>
      </w:r>
    </w:p>
    <w:p>
      <w:r>
        <w:t xml:space="preserve">FRENCH REPUBLIC  </w:t>
        <w:br/>
        <w:t xml:space="preserve">Decision No. 14-DCC-164 of November 13, 2014  </w:t>
        <w:br/>
        <w:t xml:space="preserve">regarding the exclusive control by the Carrefour group of a  </w:t>
        <w:br/>
        <w:t>portfolio of six shopping galleries from the company Unibail-Rodamco</w:t>
      </w:r>
    </w:p>
    <w:p>
      <w:r>
        <w:t xml:space="preserve">The Competition Authority,  </w:t>
        <w:br/>
        <w:t xml:space="preserve">Having regard to the notification file submitted in full to the merger service on October 8, 2014,  </w:t>
        <w:br/>
        <w:t xml:space="preserve">regarding the exclusive control by the Carrefour group of a portfolio of six shopping galleries from the company Unibail-Rodamco, formalized by a letter of offer dated July 30, 2014, and a draft agreement dated September 24, 2014;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Carrefour SA is the holding company of the Carrefour group, active in food distribution (hereinafter "Carrefour"). In France, the Carrefour group operates hypermarkets, supermarkets, and convenience stores under various brands. Carrefour is also active in the ownership and management of real estate assets for its own account. As of December 31, 2013, the group operated 16.2 million square meters worldwide through its branded stores. Carrefour owns the majority of its points of sale. Its real estate assets in France, Spain, and Italy are managed by its subsidiary Carrefour Property.  </w:t>
        <w:br/>
        <w:t xml:space="preserve">2. The target of the operation consists of six shopping galleries. Among these, the assets "Bay 1" and "Bay 2" located in Ile-de-France, "Bab 2" located in Bayonne, and "Labège 2" located in Toulouse are currently 100% owned by Unibail-Rodamco (hereinafter "Unibail"), a group specialized in commercial real estate. The asset "Cité Europe," located in Calais, is co-owned by Unibail and the company Imfra Immobilière France, which is entirely owned by the Adia fund. Finally, the asset "Place d'Arc," located in Orléans, is co-owned by Unibail and the company Assurbail Patrimoine. The targeted shopping galleries are attached to hypermarkets under the Carrefour brand owned by the Carrefour group. The latter also holds a minority of the retail spaces in these shopping galleries.  </w:t>
        <w:br/>
        <w:t xml:space="preserve">3. According to the letter of offer dated July 30, 2014, the simplified joint-stock company Carmila (hereinafter "Carmila") will acquire full ownership of the target assets. The capital of Carmila will be indirectly held by 8 shareholders, among which Carrefour will hold 42.22% of the capital, the other shareholders holding individually less than […]% of the capital. By virtue of the composition of the board of directors and the decision-making rules governing it, as provided by the shareholders' agreement of Carmila, Carrefour will be the only one able to block the adoption of strategic decisions, including the revision, updating, or renewal of the business plan as well as the approval of the company's annual budget.  </w:t>
        <w:br/>
        <w:t xml:space="preserve">4. As it results in the exclusive control by Carrefour of the six targeted shopping galleries, the operation constitutes a concentration within the meaning of Article L. 430-1 of the Commercial Code.  </w:t>
        <w:br/>
        <w:t>5. The concerned companies together achieved a consolidated turnover excluding taxes worldwide of more than 150 million euros during the last closed financial year (Carrefour: […] euros for the financial year ending December 31, 2013; target assets: […] euros for the same financial year). Each of them achieved a turnover in France exceeding 50 million euros (Carrefour: […] euros for the financial year ending December 31, 2012; target assets: […] euros for the same financial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6. The proposed operation concerns the sector of proprietary real estate management of shopping centers.  </w:t>
        <w:br/>
        <w:t xml:space="preserve">A. DELIMITATION OF PRODUCT AND SERVICE MARKETS  </w:t>
        <w:br/>
        <w:t xml:space="preserve">7. National and community competition authorities have considered, while leaving the question open, various segmentations in the real estate services sector according to (i) the recipients of the services (individuals or businesses), (ii) the pricing method (free residential real estate and social or intermediate housing), (iii) the type of activity carried out in the premises (offices, commercial premises, and other activity premises) and (iv) the nature of the services or goods offered.  </w:t>
        <w:br/>
        <w:t xml:space="preserve">8. Regarding segmentation according to the nature of the services or goods offered, the decision-making practice has considered the distinction between:  </w:t>
        <w:br/>
        <w:t xml:space="preserve">(i) real estate promotion which includes construction and sale activities of real estate;  </w:t>
        <w:br/>
        <w:t xml:space="preserve">(ii) management of real estate assets for own account;  </w:t>
        <w:br/>
        <w:t xml:space="preserve">(iii) management of real estate assets for third parties;  </w:t>
        <w:br/>
        <w:t xml:space="preserve">(iv) property management which covers the activities of managing properties on behalf of owners and can be segmented between rental management and co-ownership management;  </w:t>
        <w:br/>
        <w:t xml:space="preserve">(v) real estate expertise;  </w:t>
        <w:br/>
        <w:t xml:space="preserve">(vi) real estate consulting;  </w:t>
        <w:br/>
        <w:t xml:space="preserve">(vii) intermediation in real estate transactions, within which a distinction can be made between the sale and rental of properties.  </w:t>
        <w:br/>
        <w:t xml:space="preserve">9. In this case, the parties are simultaneously present in the market for the ownership and management of real estate assets for their own account of commercial premises.  </w:t>
        <w:br/>
        <w:t xml:space="preserve">10. French decision-making practice, while leaving the question open, has considered a segmentation between shopping centers and commercial premises at the foot of buildings, as well as a segmentation of shopping centers according to their size, namely:  </w:t>
        <w:br/>
        <w:t xml:space="preserve">(i) small shopping centers ("PCC"), with a commercial area between 5,000 and 20,000 m² and containing between 20 and 40 shops (stores and services);  </w:t>
        <w:br/>
        <w:t xml:space="preserve">(ii) large shopping centers ("GCC"), with a commercial area between 20,000 and 40,000 m² and containing between 40 and 80 shops;  </w:t>
        <w:br/>
        <w:t xml:space="preserve">(iii) regional shopping centers ("CCR"), with a commercial area exceeding 40,000 m² and with more than 80 shops; and  </w:t>
        <w:br/>
        <w:t xml:space="preserve">(iv) specialized theme centers ("CCT"), for example, in home equipment and manufacturer stores.  </w:t>
        <w:br/>
        <w:t xml:space="preserve">11. The responses to the market test largely confirm this approach. However, the notifying party considers that these delineations may be arbitrary. It indicates that some small shopping galleries adjacent to large retail stores, whose commercial area and/or number of shops do not meet the criteria for classification as a shopping center, should be taken into account.  </w:t>
        <w:br/>
        <w:t>12. The segmentation of shopping centers into small, large, and regional is based on a dual criterion, namely: the overall size of the shopping center (including the area of hypermarkets and, more generally, that of self-occupied spaces) and the number of shops. When one of the two criteria is not met, the notifying party has classified the center in the lower category (for example, a large center becomes a small center). Thus, in Bayonne, four PCCs become galleries and one CCR becomes a GCC. In Calais, two GCCs become PCCs. In Orléans, three PCCs become galleries. In Toulouse, three PCCs become galleries, two GCCs become PCCs, and two CCRs become GCCs.</w:t>
      </w:r>
    </w:p>
    <w:p>
      <w:r>
        <w:rPr>
          <w:b/>
        </w:rPr>
        <w:t>[Pages 4–6]</w:t>
      </w:r>
    </w:p>
    <w:p>
      <w:r>
        <w:t xml:space="preserve">(ii) large shopping centers ("GCC"), with a commercial area between 20,000 and 40,000 m² and containing between 40 and 80 shops;  </w:t>
        <w:br/>
        <w:t xml:space="preserve">(iii) regional shopping centers ("CCR"), with a commercial area exceeding 40,000 m² and with more than 80 shops; and  </w:t>
        <w:br/>
        <w:t xml:space="preserve">(iv) specialized theme centers ("CCT"), for example, in home equipment and manufacturer stores.  </w:t>
        <w:br/>
        <w:t xml:space="preserve">11. The responses to the market test largely confirm this approach. However, the notifying party considers that these delineations may be arbitrary. It indicates that some small shopping galleries adjacent to large retail stores, whose commercial area and/or number of shops is below the thresholds for PCC, may compete with larger shopping centers. It also considers that configurations of downtown shops can be integrated into the markets for shopping centers.  </w:t>
        <w:br/>
        <w:t xml:space="preserve">12. In this case, there is no need to definitively resolve the question of the exact delineation of the markets for proprietary management of shopping centers, as the competitive analysis remains unchanged regardless of the solution adopted.  </w:t>
        <w:br/>
        <w:t xml:space="preserve">13. The assets concerned include areas intended for GCC shops (Bab 2, Place d'Arc), CCR (Cité Europe, Labège 2, Bay 2), and theme centers (Bay 111).  </w:t>
        <w:br/>
        <w:t xml:space="preserve">B. GEOGRAPHICAL DELIMITATION OF MARKETS  </w:t>
        <w:br/>
        <w:t xml:space="preserve">14. French decision-making practice has considered that the markets for proprietary management of shopping centers could be of national or sub-national dimension, while leaving the question open.  </w:t>
        <w:br/>
        <w:t xml:space="preserve">15. At the national level, decision-making practice has already noted that part of the demand comes from groups of national scope following a strategy of establishing themselves in shopping centers according to a logic of covering the entire territory. Furthermore, it has considered, while leaving the question open, that the market for real estate services is of national dimension when investments are made by significant professional investors.  </w:t>
        <w:br/>
        <w:t xml:space="preserve">16. At the sub-national level, two levels of analysis have so far been retained: the region and the urban area, with the analysis generally conducted at the regional level when the size of the urban area is too small to allow for a genuine competitive analysis. A large majority of respondents to the market test confirmed the relevance of this segmentation.  </w:t>
        <w:br/>
        <w:t xml:space="preserve">17. Specifically regarding Île-de-France, decision-making practice holds that "the Paris region has particular properties of continuity of urban areas. Indeed, there is a vast, highly urbanized, and homogeneous area covering most of Île-de-France, served by a comprehensive transport network; residents are always able to arbitrate between different parts of the region. This substitutability leads to a convergence in prices. Therefore, the regional level is the most appropriate for competitive analysis."  </w:t>
        <w:br/>
        <w:t xml:space="preserve">18. In this case, the analysis will be conducted at the national, regional, and local levels.  </w:t>
        <w:br/>
        <w:t xml:space="preserve">III. Competitive Analysis  </w:t>
        <w:br/>
        <w:t xml:space="preserve">19. The notifying party presents the market shares of the new entity expressed in retail area. The notifying party was unable to provide the market shares of the new entity according to the size of shopping centers at the national and regional levels; this segmentation will therefore be presented for analysis at the local level only.  </w:t>
        <w:br/>
        <w:t xml:space="preserve">20. For the purposes of estimating the market shares of the new entity at the local level, the notifying party has removed the so-called "self-occupied" areas, that is to say, the retail spaces owned and operated by Carrefour and its competitors in the context of their food distribution activities, which are not likely to be rented to third parties and are not available on the market. At the national and regional levels, in the absence of statistics allowing for a distinction between self-occupied retail spaces and spaces rented to third parties, Carrefour has considered that the hypermarket areas are always controlled and occupied by their operator (except for exceptions concerning Carrefour or known based on public information).  </w:t>
        <w:br/>
        <w:t xml:space="preserve">A. COMPETITIVE ANALYSIS AT THE NATIONAL AND REGIONAL LEVELS  </w:t>
        <w:br/>
        <w:t xml:space="preserve">21. At the national level, the market share of the new entity in the market for proprietary management of shopping centers, across all types of shopping centers, will be around [10-20]%, with a limited increment of [0-5]%.  </w:t>
        <w:br/>
        <w:t xml:space="preserve">22. At the regional level, the notifying party estimated that the market shares were as follows:  </w:t>
        <w:br/>
        <w:t xml:space="preserve">Regions PDM Carrefour PDM Target Assets Cumulative  </w:t>
        <w:br/>
        <w:t xml:space="preserve">Aquitaine [10-20] % [0-5] % [20-30] %  </w:t>
        <w:br/>
        <w:t xml:space="preserve">Centre [10-20] % [0-5] % [20-30] %  </w:t>
        <w:br/>
        <w:t xml:space="preserve">Ile-de-France [10-20] % [0-5] % [10-20] %  </w:t>
        <w:br/>
        <w:t xml:space="preserve">Midi-Pyrénées [10-20] % [0-5] % [10-20] %  </w:t>
        <w:br/>
        <w:t xml:space="preserve">Nord-Pas-de-Calais [10-20] % [0-5] % [20-30] %  </w:t>
        <w:br/>
        <w:t xml:space="preserve">23. It follows from this table that the market shares of the new entity will be less than 25% in the five regions concerned by the proposed operation, with limited increments ranging between [0-5]% and [0-5]%.  </w:t>
        <w:br/>
        <w:t xml:space="preserve">24. In view of the above, the operation is not likely to harm competition in the national or regional markets for proprietary management of shopping centers.  </w:t>
        <w:br/>
        <w:t xml:space="preserve">B. COMPETITIVE ANALYSIS AT THE LOCAL LEVEL  </w:t>
        <w:br/>
        <w:t xml:space="preserve">25. The operation results in an overlap of activities in the urban areas of Toulouse, Orléans, Bayonne, and Calais.  </w:t>
        <w:br/>
        <w:t xml:space="preserve">1. THE URBAN AREA OF TOULOUSE  </w:t>
        <w:br/>
        <w:t xml:space="preserve">26. In the markets for the proprietary management of shopping centers, regardless of the segmentation considered, the operation leads to cumulative market shares below 25% in the urban area of Toulouse. In this urban area, the increment of market shares is also limited, approximately [5-10]% in a market encompassing all shopping centers and [0-5]% in a market including only CCR.  </w:t>
        <w:br/>
        <w:t xml:space="preserve">27. The notifying party reports that the urban area of Toulouse is subject to several expansion and creation projects for shopping centers. In this regard, it reports a project to extend the shopping gallery of the target asset Labège 2 as well as the creation of a new PCC called Les Marouines. Regarding its competitors, it identifies notably a project to extend the GCC Espace Fenouillet, which would become a CCR, as well as the creation of Val Tolosa, a new CCR. In any case, even taking into account these projects that, according to the notifying party, are expected to materialize by 2016/2017, the new entity would retain, regardless of the segmentation considered, a cumulative market share below 25% in the urban area of Toulouse.  </w:t>
        <w:br/>
        <w:t xml:space="preserve">2. THE URBAN AREA OF ORLÉANS  </w:t>
        <w:br/>
        <w:t>28. In Orléans, the operation consists of Carrefour's acquisition of the GCC Place d'Arc, which represents approximately [30-40]% of the available gallery areas in shopping centers. Prior to the operation, Carrefour already owned the GCC Saran, which represents approximately [10-20]% of the available gallery areas in shopping centers in Orléans. Following the operation,</w:t>
      </w:r>
    </w:p>
    <w:p>
      <w:r>
        <w:rPr>
          <w:b/>
        </w:rPr>
        <w:t>[Pages 7–9]</w:t>
      </w:r>
    </w:p>
    <w:p>
      <w:r>
        <w:t xml:space="preserve">of the operation, the new entity will therefore hold approximately [40-50]% of the available gallery spaces in the urban area of Orléans. In the GCC segment, the new entity will hold a market share of approximately [60-70]% with an increment of around [20-30]%.  </w:t>
        <w:br/>
        <w:t xml:space="preserve">29. Nevertheless, the new entity will continue to face competition from three shopping centers: the GCC Val de Loire owned by Immochan, which represents [20-30]% of the available gallery spaces and is the second largest shopping center in the urban area, behind the GCC Place d'Arc. In addition to these shopping centers, the urban area of Orléans also includes the PCC Leclerc Checy owned by Checy Distribution, a member of Leclerc ([10-20]%), and Les Halles Chatelet ([10-20]%).  </w:t>
        <w:br/>
        <w:t xml:space="preserve">30. Furthermore, the target asset is located in the city center of Orléans. It is thus situated along the Rue de la République, which, according to the notifying party, is the main shopping street in Orléans and hosts several national brands. The notifying party counts 666 ground-floor shops in the city center of Orléans, of which 40% are occupied by national brands, or 269 shops. It notes that, in comparison, the target shopping center includes 65 shops, of which 94% are occupied by national brands, or 61 shops.  </w:t>
        <w:br/>
        <w:t xml:space="preserve">31. According to the notifying party, from the perspective of retail brands, the establishment of a store in the city center of Orléans is not complementary to the establishment of a store in a shopping center but rather competitive due to its geographical location. It reports that only 17 shops are present both at ground level and in the shopping centers located in the city center of Orléans (Place d'Arc and Les Halles Chatelet), which represents only 2.5% of the total number of shops. The vast majority of respondents to the market test believe that the shops located at ground level in the city center of Orléans exert competitive pressure on the Place d'Arc shopping center. The proximity of a city center that has a significant offering of national brands thus exerts significant competitive pressure on the target shopping center Place d'Arc.  </w:t>
        <w:br/>
        <w:t xml:space="preserve">32. Additionally, in its response to the market test, Checy Distribution, which manages the PCC Leclerc Checy on behalf of the Leclerc group, indicates that it plans to create 20 additional shops and expand the sales area of the hypermarket it hosts by 1,500 m². In its terms, the PCC Leclerc Checy shopping center will thus be "in competition with Carrefour shopping centers."  </w:t>
        <w:br/>
        <w:t xml:space="preserve">33. Finally, all competitors and a majority of tenants who responded to the market test believe that the operation is not likely to harm competition in the urban area of Orléans.  </w:t>
        <w:br/>
        <w:t xml:space="preserve">3. THE URBAN AREA OF BAYONNE  </w:t>
        <w:br/>
        <w:t xml:space="preserve">34. In Bayonne, the operation involves Carrefour taking control of the Bab 2 asset, the only GCC in the urban area, which represents approximately [70-80]% of the available gallery spaces in shopping centers. Before the operation, Carrefour owns the PCC Tarnos-Océan, which represents approximately [10-20]% of these spaces. Following the operation, the new entity will therefore hold approximately [80-90]% of the available gallery spaces in the urban area of Bayonne.  </w:t>
        <w:br/>
        <w:t xml:space="preserve">35. However, this market share must be nuanced. Firstly, Bab 2 is the only GCC in Bayonne, which means that the operation does not result in any overlap when considering a market segmentation by type of shopping center.  </w:t>
        <w:br/>
        <w:t xml:space="preserve">36. Secondly, the notifying party argues that two new shopping centers, either under construction or existing at the project stage, are expected to exert significant competitive pressure on Carrefour in the near future:  </w:t>
        <w:br/>
        <w:t xml:space="preserve">- the CCR Zone d’Ametzondo developed by Inter Ikea Centre Group France (hereinafter "Inter Ikea"), which will include an Ikea store, a Carrefour supermarket, as well as a commercial area with more than 80 shops and about ten restaurants;  </w:t>
        <w:br/>
        <w:t xml:space="preserve">- the CCR Les Allées Shopping developed by the Sodec group, which concerns a shopping center with a surface area of 70,000 m² GLA, including an Auchan hypermarket and an offering of 150 to 200 retail outlets.  </w:t>
        <w:br/>
        <w:t xml:space="preserve">37. The notifying party also reports that the target asset Bab 2 is expected to be transformed into a CCR with the upcoming creation of 36 additional units corresponding to an additional GLA of 10,684 m². However, it emerges from the investigation that the authorization decision of the Commission Nationale d’Aménagement Commercial ("CNAC") regarding this project is subject to an annulment appeal before the administrative court of appeal of Bordeaux, and that the building permit is also subject to an ongoing appeal before the administrative court of Pau. Given the uncertainty of its realization, this project cannot therefore be taken into account in the competitive analysis.  </w:t>
        <w:br/>
        <w:t xml:space="preserve">38. Regarding the CCR Zone d’Ametzondo, the notifying party reports that Inter Ikea has submitted a request for authorization to the Commission Département d’Aménagement Commercial ("CDAC") to modify the internal distribution of sales areas in its future shopping center. This modification authorization was granted to it by a decision that was subsequently annulled by the CNAC. However, the notifying party believes that regardless of the outcome of the appeal that could be filed against this decision before the Conseil d’Etat, the realization of the project will not be called into question. According to the notifying party, either the modification will ultimately be accepted and the project, whose total area will remain unchanged, will include the new internal distribution, or it will ultimately be refused, and it is the project initially planned for which Inter Ikea obtained the authorizations (with no possible appeal) that will be realized.  </w:t>
        <w:br/>
        <w:t xml:space="preserve">39. Inter Ikea confirmed during the investigation that the CNAC's annulment decision does not cause any delay in the original schedule, which provides for the shopping center [confidential] to open to the public. The GCR project Zone d’Ametzondo is therefore certain, and its opening to the public is sufficiently close in time to be taken into account in the competitive analysis of the present operation.  </w:t>
        <w:br/>
        <w:t xml:space="preserve">40. Regarding the CCR Les Allées Shopping, all administrative authorizations have been obtained, and the appeal deadlines have expired. However, despite the definitive obtaining of these authorizations, there remains some uncertainty regarding the opening date, which may not occur within a sufficiently rapid timeframe to constitute a source of effective competitive pressure on the new entity. Nevertheless, there is no need to make a firm statement on this project as its consideration is not likely to alter the competitive analysis.  </w:t>
        <w:br/>
        <w:t xml:space="preserve">41. Indeed, in a conservative approach that only takes into account the project whose realization is certain (the CCR Zone Ametzondo), the market share of the new entity in the urban area of Bayonne will be approximately [30-40]% over a two-year horizon. If we also consider the extension of the target asset, which, subject to appeals against the administrative decisions, should make Bab 2 a CCR, the market share of the notifying party will be around [40-50]% (approximately [40-50]% for Bab 2 and [5-10]% for Tarnos Océan), with Inter Ikea remaining the market leader with a share of approximately [50-60]%.  </w:t>
        <w:br/>
        <w:t xml:space="preserve">42. The operation is therefore not likely to harm competition in the urban area of Bayonne.  </w:t>
        <w:br/>
        <w:t xml:space="preserve">4. THE URBAN AREA OF CALAIS  </w:t>
        <w:br/>
        <w:t xml:space="preserve">43. In Calais, the operation involves Carrefour taking control of the only CCR, Cité Europe, which represents approximately [40-50]% of the available gallery spaces in shopping centers. Carrefour owns the PCC Calais Mivoix before the operation, which represents approximately [0-5]% of these spaces. The operation will therefore confer to the new entity approximately [50-60]% of the available gallery spaces in the urban area of Calais, while only resulting in a limited market share increment ([0-5]%). Furthermore, there are no other CCRs in Calais, so the operation does not result in any overlap when considering a market segmentation by type of shopping center.  </w:t>
        <w:br/>
        <w:t xml:space="preserve">44. Moreover, the operation will decrease the level of market concentration. Prior to the operation, Unibail indeed owns the two largest shopping centers in the urban area (the target asset and the theme center Channel Outlet Store), while Carrefour only owns a relatively modest-sized PCC. The market share of the new entity will thus remain at a level lower than that of Unibail before the operation, and the level of concentration in the market will decrease as a result of the operation. The Herfindahl-Hirschman Index (IHH) in the market for proprietary management of shopping centers in the urban area of Calais is indeed […] before the operation, due to Unibail's strong position. Following the operation, the IHH will rise to […], with the operation resulting in a negative change of the index of […]. According to the guidelines of the Competition Authority regarding the control of concentrations, it is therefore unlikely that the operation will lead to a horizontal competition problem, as despite an IHH level above 2,000 after the operation, the delta is actually negative.  </w:t>
        <w:br/>
        <w:t>45. Additionally, the new entity will continue to face competition from the PCC Les Deux Caps owned by Immochan ([10-20]% of the spaces) and the PCC Les Quatre Boulevards owned by the Calais municipality ([10-20]% of the spaces). It will also compete with the theme center Channel Outlet Store (formerly L’Usine Cote d’Opale), an outlet center owned by Unibail, of which 81% of the units host personal equipment brands (ready-to-wear, shoes, etc.), with the remaining units dedicated to home equipment (14%) and dining (4%). The notifying party specifies that a number of brands present in the Channel Outlet Store are traditionally found in classic shopping centers (for example, Leonidas, Little Marcel, Desigual, Le temps des Cerises, and Bananamoon). This theme center represents [20-30]% of the available gallery spaces in shopping centers in the urban area of Calais.</w:t>
      </w:r>
    </w:p>
    <w:p>
      <w:r>
        <w:rPr>
          <w:b/>
        </w:rPr>
        <w:t>[Pages 10–11]</w:t>
      </w:r>
    </w:p>
    <w:p>
      <w:r>
        <w:t>46. It should finally be noted that the urban area of Calais is characterized, across all shopping centers, by an abnormally high average vacancy rate. Currently, there is an average vacancy rate of 20% of the total supply, which is much higher than the rates observed on average in cities of comparable size. At the end of 2013, a total of 64 locations were vacant in the shopping centers of the urban area of Calais. The notifying party believes that this characteristic places tenants in a strong negotiating position against landlords who are seeking to fill the vacancies in their shopping centers. This situation is confirmed by the responses to the market test from both the competing landlords of the new entity and its tenants, who report that the rents charged in the shopping centers of Calais are either stable or declining. They similarly anticipate a stable or declining trend in the future.</w:t>
      </w:r>
    </w:p>
    <w:p>
      <w:r>
        <w:t xml:space="preserve">IV. Accessory Restrictions  </w:t>
        <w:br/>
        <w:t xml:space="preserve">47. Article 16.1 of the draft Protocol of Agreement provides that the seller commits, on its own behalf and on behalf of its affiliates, for a period of […] years from the date of transfer of the assets, to seek the express consent of the buyer before investing directly or indirectly in all or part of the shopping center project "Les Allées Shopping" in the urban area of Bayonne.  </w:t>
        <w:br/>
        <w:t xml:space="preserve">48. The notifying party believes that this provision constitutes a restriction directly related and necessary to the realization of the concentration within the meaning of the European Commission communication 2005/C 56/03 of March 5, 2005. It specifies that, regarding Bab 2, the operation concerns, in addition to the transfer of the shopping gallery, the transfer of the leases concluded between Unibail and the brands present in Bab 2 as well as the necessary administrative authorizations for the extension project of Bab 2. The notifying party emphasizes Unibail's ability, due to the importance of its portfolio of large shopping centers in Europe, to convince brands present in Bab 2, or anticipated to be in the extension, to join the competing project "Les Allées Shopping." It thus believes that in the absence of a non-compete clause, the value of the Bab 2 asset could be threatened. It finally emphasizes that the duration of the clause set at […] years corresponds to the likely opening date of the "Les Allées Shopping" center.  </w:t>
        <w:br/>
        <w:t xml:space="preserve">49. The Competition Authority considers that while a non-compete clause may appear necessary for the buyer to benefit from some protection against competition from the seller, in order to be able to retain customers, such clauses are justified by the legitimate objective of achieving the concentration only to the extent that their duration, territorial scope, and material and personal scope do not exceed what is reasonably necessary for this purpose. Given the duration of the clause and its object, these conditions are met in this case.  </w:t>
        <w:br/>
        <w:t xml:space="preserve">50. Furthermore, the limitation of the seller's right to purchase or hold shares in a company that competes with the divested activity cannot be considered as directly related and necessary to the realization of the concentration if it prevents the seller from purchasing or holding these shares solely for investment purposes, without granting it, directly or indirectly, management functions or substantial influence in the competing company.  </w:t>
        <w:br/>
        <w:t>51. In this case, the non-compete clause stipulated in the transfer agreement constitutes a restriction directly related and necessary provided that it does not limit the seller's ability to purchase or hold shares in competing companies of the new entity for investment purposes, within the limits set out in the previous paragraph of this decision.</w:t>
      </w:r>
    </w:p>
    <w:p>
      <w:r>
        <w:t xml:space="preserve">DECIDES  </w:t>
        <w:br/>
        <w:t xml:space="preserve">Sole Article: The operation notified under number 14-158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