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https://www.autoritedelaconcurrence.fr/fr/decision-de-controle-des-concentrations/relative-la-prise-de-controle-exclusif-par-le-groupe-4</w:t>
      </w:r>
    </w:p>
    <w:p>
      <w:r>
        <w:t>Pages translated : 4</w:t>
      </w:r>
    </w:p>
    <w:p/>
    <w:p>
      <w:r>
        <w:rPr>
          <w:b/>
        </w:rPr>
        <w:t>[Pages 1–3]</w:t>
      </w:r>
    </w:p>
    <w:p>
      <w:r>
        <w:t>FRENCH REPUBLIC</w:t>
        <w:br/>
        <w:t>Decision No. 14-DCC-182 of December 12, 2014</w:t>
        <w:br/>
        <w:t>regarding the exclusive control by the Humanis group of an</w:t>
        <w:br/>
        <w:t>insurance contract portfolio</w:t>
        <w:br/>
        <w:t>The Competition Authority,</w:t>
        <w:br/>
        <w:t>Having regard to the notification file submitted in full to the merger service on</w:t>
        <w:br/>
        <w:t>November 7, 2014, concerning the exclusive control by the Humanis group of an</w:t>
        <w:br/>
        <w:t>insurance contract portfolio with the National Provident Group (hereinafter</w:t>
        <w:br/>
        <w:t>“GNP”) formalized by a portfolio transfer agreement signed on June 4, 2014 and</w:t>
        <w:br/>
        <w:t>approved by the boards of directors of Humanis Prévoyance and GNP on the same</w:t>
        <w:br/>
        <w:t>date, as well as by their general assemblies on June 25, 2014;</w:t>
        <w:br/>
        <w:t>Having regard to Book IV of the Commercial Code relating to price and competition</w:t>
        <w:br/>
        <w:t>freedom, and in particular its Articles L. 430-1 to L. 430-7;</w:t>
        <w:br/>
        <w:t>Having regard to the supplementary elements transmitted by the parties during the</w:t>
        <w:br/>
        <w:t>investigation;</w:t>
        <w:br/>
        <w:t>Adopts the following decision:</w:t>
        <w:br/>
        <w:t>I. The concerned companies and the operation</w:t>
        <w:br/>
        <w:t>1. The Humanis group (hereinafter “Humanis”) is a parity social protection group. It</w:t>
        <w:br/>
        <w:t>is equipped with a summit association as well as four Arrco supplementary retirement</w:t>
        <w:br/>
        <w:t>institutions and four Agirc supplementary retirement institutions. Humanis also</w:t>
        <w:br/>
        <w:t>includes an interprofessional provident institution (Humanis Prévoyance) and two</w:t>
        <w:br/>
        <w:t>professional or company provident institutions (IPBP and Ipsec) as well as several</w:t>
        <w:br/>
        <w:t>mutuals organized into mutual unions. Six groupings of resources structure the human</w:t>
        <w:br/>
        <w:t>and material resources of Humanis. The competitive activities of the group mainly</w:t>
        <w:br/>
        <w:t>concern supplementary social protection, both collective and individual, supplementary</w:t>
        <w:br/>
        <w:t>retirement, provident schemes, health, and savings.</w:t>
        <w:br/>
        <w:t>2. The portfolio of contracts subject to the notified operation (hereinafter “the</w:t>
        <w:br/>
        <w:t>transferred contract portfolio”), numbering 44,361 in 2013, includes collective</w:t>
        <w:br/>
        <w:t>insurance contracts for individuals (provident schemes covering death and</w:t>
        <w:br/>
        <w:t>disability-incapacity risks) subscribed by companies from 19 professional branches. These</w:t>
        <w:br/>
        <w:t>contracts were subscribed by the GNP, designated within the framework of collective</w:t>
        <w:br/>
        <w:t>agreements for a maximum of five years. Since 2013, these contracts have been in run-off</w:t>
        <w:br/>
        <w:t>management.</w:t>
        <w:br/>
        <w:t>3. Under the terms of the portfolio transfer agreement dated June 4, 2014, approved by</w:t>
        <w:br/>
        <w:t>the boards of directors of Humanis Prévoyance and GNP on the same date, as well as</w:t>
        <w:br/>
        <w:t>by their general assemblies on June 25, 2014, the operation consists of the transfer by</w:t>
        <w:br/>
        <w:t>GNP of the entirety of its portfolio of collective insurance contracts to the provident</w:t>
        <w:br/>
        <w:t>institution of the Humanis group, Humanis Prévoyance. The transfer will be carried out</w:t>
        <w:br/>
        <w:t>with retroactive accounting and tax effect as of January 1, 2014. Following the operation,</w:t>
        <w:br/>
        <w:t>the insurance risk will no longer be borne by GNP but by Humanis Prévoyance.</w:t>
        <w:br/>
        <w:t>4. Insofar as it results in the acquisition by Humanis of the portfolio of collective</w:t>
        <w:br/>
        <w:t>insurance contracts from GNP, assets constituting an economic activity, the operation</w:t>
        <w:br/>
        <w:t>therefore constitutes a concentration within the meaning of Article L. 430-1 of the</w:t>
        <w:br/>
        <w:t>Commercial Code.</w:t>
        <w:br/>
        <w:t>5. The concerned companies together achieved a consolidated turnover excluding taxes</w:t>
        <w:br/>
        <w:t>worldwide of more than 150 million euros (Humanis: 2.7 billion euros for the fiscal year</w:t>
        <w:br/>
        <w:t>ending December 31, 2013; the transferred contract portfolio: 73.7 million euros for the</w:t>
        <w:br/>
        <w:t>same fiscal year). Each of these companies achieved, in France, a turnover exceeding 50</w:t>
        <w:br/>
        <w:t>million euros (Humanis: 2.7 billion euros for the fiscal year ending December 31, 2013;</w:t>
        <w:br/>
        <w:t>the transferred contract portfolio: 73.7 million euros for the same fiscal year). Given</w:t>
        <w:br/>
        <w:t>these turnover figures, the operation does not fall under the jurisdiction of the European</w:t>
        <w:br/>
        <w:t>Union. However, the control thresholds mentioned in I of Article L. 430-2 of the</w:t>
        <w:br/>
        <w:t>Commercial Code are exceeded. This operation is therefore subject to the provisions of</w:t>
        <w:br/>
        <w:t>Articles L. 430-3 and following of the Commercial Code relating to economic concentration.</w:t>
        <w:br/>
        <w:t>2 In this case, it concerns the professional branches of animation, technical study offices (annex investigators), retail trade in watchmaking and jewelry, shoe retailers, aesthetics, private education outside contracts, housing – personnel PACT and RIM, import-export, bookstores, fishmongers and shippers, local missions and PAIO, training organizations, stationery, office supplies, office automation and IT, service providers in the tertiary sector, neighborhood management companies, ski lifts and ski areas, and sports.</w:t>
      </w:r>
    </w:p>
    <w:p>
      <w:r>
        <w:t>II. Delimitation of Relevant Markets</w:t>
        <w:br/>
        <w:t>6. The parties to the transaction are both active in the insurance sector.</w:t>
        <w:br/>
        <w:t>A. DELIMITATION OF PRODUCT OR SERVICE MARKETS</w:t>
        <w:br/>
        <w:t>7. Decision-making practice consistently distinguishes reinsurance activities from insurance activities.</w:t>
        <w:br/>
        <w:t>8. Competition authorities consider reinsurance to constitute a distinct market due to the specificity of its purpose (the distribution of risks among insurers) and the less stringent regulatory constraints on this activity.</w:t>
        <w:br/>
        <w:t>9. Regarding insurance activities, a distinction has been made between personal insurance and property and casualty insurance (property and liability), each of which can be segmented into as many markets as there are insurances covering the different types of risks. Finally, additional segmentations have been considered within personal insurance between collective insurance contracts and individual insurance contracts and within property and casualty insurance between insurances aimed at individuals and insurances aimed at professionals.</w:t>
        <w:br/>
        <w:t>10. In this case, the operation results in an overlap of activity in personal insurance, in the market for collective provident insurance which includes insurance products intended to cover beneficiaries against an unpredictable loss of income (in the event of death, disability, or incapacity) through a payment in the form of a capital sum or an annuity.</w:t>
        <w:br/>
        <w:t>11. There is no need to challenge these delimitations to analyze the effects of the present operation.</w:t>
        <w:br/>
        <w:t>B. DELIMITATION OF GEOGRAPHIC MARKETS</w:t>
        <w:br/>
        <w:t>12. It follows from decision-making practice that insurance markets, with the exception of certain insurances covering large-scale risks, are of national dimension given consumer preferences, the existence of national legislation and tax constraints, the current structure of these markets, or the regulatory systems.</w:t>
      </w:r>
    </w:p>
    <w:p>
      <w:r>
        <w:rPr>
          <w:b/>
        </w:rPr>
        <w:t>[Pages 4–4]</w:t>
      </w:r>
    </w:p>
    <w:p>
      <w:r>
        <w:t>13. There is no need to call into question these delimitations to analyze the effects of the present operation.</w:t>
      </w:r>
    </w:p>
    <w:p>
      <w:r>
        <w:t>III. Competitive Analysis</w:t>
        <w:br/>
        <w:t>14. Following the operation, the combined market share of the parties will be 4.8% in the collective provident market, with the portfolio transfer resulting in an increment of 0.2%. Humanis will continue to face competition from numerous players, notably Médéric-Malakoff (7%), Axa (6.4%), and Pro BTP (5.3%).</w:t>
      </w:r>
    </w:p>
    <w:p>
      <w:r>
        <w:t>15. Consequently, the operation is not likely to harm competition in the collective provident market.</w:t>
      </w:r>
    </w:p>
    <w:p>
      <w:r>
        <w:t>DECIDES</w:t>
        <w:br/>
        <w:t>Sole Article: The operation notified under number 14-049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