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https://www.autoritedelaconcurrence.fr/fr/decision-de-controle-des-concentrations/relative-la-prise-de-controle-exclusif-par-le-groupe-6</w:t>
      </w:r>
    </w:p>
    <w:p>
      <w:r>
        <w:t>Pages translated : 2</w:t>
      </w:r>
    </w:p>
    <w:p/>
    <w:p>
      <w:r>
        <w:rPr>
          <w:b/>
        </w:rPr>
        <w:t>[Pages 1–2]</w:t>
      </w:r>
    </w:p>
    <w:p>
      <w:r>
        <w:t xml:space="preserve">FRENCH REPUBLIC  </w:t>
        <w:br/>
        <w:t xml:space="preserve">Decision No. 16-DCC-205 of December 9, 2016  </w:t>
        <w:br/>
        <w:t xml:space="preserve">regarding the exclusive control acquisition by Groupe Dubreuil of  </w:t>
        <w:br/>
        <w:t xml:space="preserve">the company Financière Huray  </w:t>
        <w:br/>
        <w:t>The Competition Authority,</w:t>
      </w:r>
    </w:p>
    <w:p>
      <w:r>
        <w:t xml:space="preserve">Having regard to the notification file sent to the mergers department on September 29, 2016, and  </w:t>
        <w:br/>
        <w:t xml:space="preserve">declared complete on November 7, 2016, concerning the exclusive control acquisition by Groupe  </w:t>
        <w:br/>
        <w:t>Dubreuil of the company Financière Huray, formalized by a letter of intent dated July 5, 2016;</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the company Financière Huray  </w:t>
        <w:br/>
        <w:t xml:space="preserve">which operates several retail business assets for Peugeot brand automobiles in the departments of Loire Atlantique (44) and Ille et Vilaine (35) by Groupe Dubreuil.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16-187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