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https://www.autoritedelaconcurrence.fr/fr/decision-de-controle-des-concentrations/relative-la-prise-de-controle-exclusif-par-le-groupe-7</w:t>
      </w:r>
    </w:p>
    <w:p>
      <w:r>
        <w:t>Pages translated : 6</w:t>
      </w:r>
    </w:p>
    <w:p/>
    <w:p>
      <w:r>
        <w:rPr>
          <w:b/>
        </w:rPr>
        <w:t>[Pages 1–3]</w:t>
      </w:r>
    </w:p>
    <w:p>
      <w:r>
        <w:t xml:space="preserve">FRENCH REPUBLIC  </w:t>
        <w:br/>
        <w:t xml:space="preserve">Decision No. 16-DCC-40 of March 10, 2016  </w:t>
        <w:br/>
        <w:t xml:space="preserve">regarding the exclusive control by the Carrefour group of  </w:t>
        <w:br/>
        <w:t xml:space="preserve">four food-dominant retail stores  </w:t>
        <w:br/>
        <w:t xml:space="preserve">The Competition Authority,  </w:t>
        <w:br/>
        <w:t xml:space="preserve">Having regard to the notification file submitted in full to the merger service on February 11, 2016,  </w:t>
        <w:br/>
        <w:t xml:space="preserve">regarding the exclusive control by the Carrefour group of four food-dominant retail stores, formalized by two unilateral purchase promises dated September 28, 2015, and December 3, 2015;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companies CSF and Carrefour Proximité France are 100% subsidiaries of Carrefour SA, the parent company of the Carrefour group, which is active in the food-dominant retail sector as well as in food-dominant wholesale distribution in France and worldwide. Carrefour is present in 34 countries with over 12,000 stores on four continents (Europe, South America, Africa, and Asia). In France, the Carrefour group operates more than 5,500 stores (hypermarkets, supermarkets, convenience stores, cash and carry), under the brands Carrefour, Carrefour Market, Carrefour City, Carrefour Contact, Carrefour Express, Carrefour Montagne, Huit à 8, Marché Plus, Proxi, Promocash. The Carrefour group also has a drive activity and various online shopping sites, one for food (Ooshop) and the other for non-food (On Line Carrefour).  </w:t>
        <w:br/>
        <w:t xml:space="preserve">2. Carrefour also enters into brand and supply contracts with companies operating food-dominant retail stores that allow them to operate their points of sale under one of the Carrefour group’s brands, to source from its purchasing centers, to benefit from suppliers referenced by Carrefour and the group's purchasing conditions, and finally to benefit from services offered by Carrefour.  </w:t>
        <w:br/>
        <w:t xml:space="preserve">3. The targets of the operation are four supermarkets under the Match brand, located in the Haut-Rhin department (68), in Kaysersberg, and in the Nord department (59), in La Madeleine, Roubaix, and Valenciennes.  </w:t>
        <w:br/>
        <w:t xml:space="preserve">4. The operation, formalized by two unilateral purchase promises, consists of the transfer of the business assets of these four stores by the company Supermarchés Match to the companies Carrefour Proximité France (Kaysersberg, La Madeleine, and Roubaix) and CSF (Valenciennes).  </w:t>
        <w:br/>
        <w:t xml:space="preserve">5. As it results in the exclusive control of 4 food-dominant retail stores by the Carrefour group, the notified operation constitutes a concentration operation within the meaning of Article L. 430-1 of the Commercial Code.  </w:t>
        <w:br/>
        <w:t xml:space="preserve">6. The concerned companies operate several retail stores and together achieve a total turnover excluding taxes worldwide of more than 75 million euros (Carrefour: 76 billion euros for the fiscal year ending December 31, 2014; the targets: 15.5 million euros for the same fiscal year). The concerned companies achieve in France in the retail sector a total turnover excluding taxes exceeding 15 million euros (Carrefour: 37 billion euros; the targets: 15.5 million euros). Given these turnover figures,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7. The markets concerned by the operation fall within the food-dominant distribution sector.  </w:t>
        <w:br/>
        <w:t xml:space="preserve">8. According to the decision-making practice of national and European competition authorities, two categories of markets can be delineated in the food-dominant distribution sector: on the one hand, downstream markets, of a local dimension, which bring together retail companies and consumers for the sale of consumer goods, and on the other hand, upstream supply markets, on which companies as buyers are in contact with product manufacturers, of a national dimension.  </w:t>
        <w:br/>
        <w:t xml:space="preserve">1 See in particular the decision of the Competition Authority No. 12-DCC-48 of April 6, 2012, regarding the exclusive control of the company Sofides by the company ITM Entreprises, and decision No. 12-DCC-125 of August 27, 2012, regarding the joint control of 28 food-dominant retail stores by the Union of Alsace Cooperators and the Association of E. Leclerc Distributor Centers. Also see the decision of the Competition Authority No. 14-DCC-173 regarding the exclusive control of Dia France SAS by Carrefour France SAS.  </w:t>
        <w:br/>
        <w:t>2 See the letter from the Minister of Economy No. C2007-172 of February 13, 2008.</w:t>
      </w:r>
    </w:p>
    <w:p>
      <w:r>
        <w:t xml:space="preserve">A. DOWNSTREAM DISTRIBUTION MARKETS  </w:t>
        <w:br/>
        <w:t xml:space="preserve">1. SERVICE MARKETS  </w:t>
        <w:br/>
        <w:t xml:space="preserve">9. Regarding the retail sale of everyday consumer goods, decision-making practice has distinguished six categories of stores using several criteria, notably the size of the stores, their sales techniques, their accessibility, the nature of the service provided, and the range of products offered: (i) hypermarkets, (ii) supermarkets, (iii) specialized retail, (iv) small retail stores, (v) discount stores, (vi) mail-order sales.  </w:t>
        <w:br/>
        <w:t xml:space="preserve">10. Hypermarkets are usually defined as food-dominant stores with a sales area equal to or greater than 2,500 m², supermarkets as food-dominant stores with a sales area of less than 2,500 m² and greater than 400 m², and convenience stores as food-dominant stores with a sales area of less than 400 m² and greater than 120 m².  </w:t>
        <w:br/>
        <w:t xml:space="preserve">11. Regarding food-dominant convenience stores, decision-making practice has specified that it is necessary to analyze the conditions under which the market actually operates, notably the fact that, in a number of geographical configurations, a hypermarket, a supermarket, or a discount store may be habitually used by certain consumers as a convenience store, in substitution for a convenience store, while specifying that the reverse is not true.  </w:t>
        <w:br/>
        <w:t xml:space="preserve">12. In this case, the four target stores have a sales area between 400 m² and 2,500 m² and therefore fall into the category of supermarkets.  </w:t>
        <w:br/>
        <w:t xml:space="preserve">2. GEOGRAPHICAL DELIMITATION  </w:t>
        <w:br/>
        <w:t xml:space="preserve">13. In its recent decisions regarding operations concerning hypermarkets or supermarkets, the Competition Authority has recalled that depending on the size of the stores concerned, the conditions of competition should be assessed in two different areas:  </w:t>
        <w:br/>
        <w:t>- a first market where consumer demand from an area meets the supply of hypermarkets to which they have access within less than 30 minutes of travel by car and which are, from their point of view, substitutable for each other;</w:t>
      </w:r>
    </w:p>
    <w:p>
      <w:r>
        <w:rPr>
          <w:b/>
        </w:rPr>
        <w:t>[Pages 4–6]</w:t>
      </w:r>
    </w:p>
    <w:p>
      <w:r>
        <w:t xml:space="preserve">- a secondary market where consumer demand meets the supply of supermarkets and equivalent forms of commerce located within a 15-minute drive. These latter forms of commerce may include, in addition to supermarkets, hypermarkets located near consumers and discount stores.  </w:t>
        <w:br/>
        <w:t xml:space="preserve">14. Other criteria may nevertheless be taken into account to assess the impact of a concentration on the competitive situation in retail distribution markets, which may lead to refining, in the specific case, the usual delineations presented above.  </w:t>
        <w:br/>
        <w:t xml:space="preserve">15. In this case, the four target stores fall into the category of supermarkets, and the competitive analysis will be conducted on the market including all hypermarkets and equivalent forms of commerce (supermarkets, hard discount, and popular stores) located within 15 minutes of the stores in Kaysersberg (68), La Madeleine (59), Roubaix (59), and Valenciennes (59).  </w:t>
        <w:br/>
        <w:t xml:space="preserve">B. UPSTREAM SUPPLY MARKETS  </w:t>
        <w:br/>
        <w:t xml:space="preserve">16. Regarding the upstream supply markets, the European Commission has recognized the existence of markets of national dimension by major product groups, a delineation followed by national authorities.  </w:t>
        <w:br/>
        <w:t xml:space="preserve">17. There is therefore no reason to challenge this delineation in the context of the present operation.  </w:t>
        <w:br/>
        <w:t xml:space="preserve">III. Competitive Analysis  </w:t>
        <w:br/>
        <w:t xml:space="preserve">A. DOWNSTREAM MARKETS FOR FOOD DISTRIBUTION  </w:t>
        <w:br/>
        <w:t xml:space="preserve">18. In the market encompassing all hypermarkets, supermarkets, and equivalent forms of commerce located within a 15-minute drive around the point of sale in Kaysersberg (68), the target store represents 5% of the total food-dominant sales area. However, since no other store controlled by Carrefour is located in this area, the operation does not result in any modification of the competitive structure in this market.  </w:t>
        <w:br/>
        <w:t xml:space="preserve">19. In the market encompassing all hypermarkets, supermarkets, and equivalent forms of commerce located within a 15-minute drive around the point of sale in La Madeleine (59), the target store represents 0.76% of the sales area. Carrefour's market share after the operation will rise to 38.5%, with the group holding seventeen other stores in this area (37.7%). The main competitors of Carrefour in this area are Auchan (21.4%), Intermarché (8.9%), the Casino group (7.1%), Cora/Match/Francap (12.2%), Leclerc (2.3%), Aldi (4.1%), and Lidl (5.2%).  </w:t>
        <w:br/>
        <w:t xml:space="preserve">20. In the market encompassing all hypermarkets, supermarkets, and equivalent forms of commerce located within a 15-minute drive around the point of sale in Roubaix (59), the target store represents 0.5% of the sales area. Carrefour's market share after the operation will rise to 17.6%, with the group holding eight other stores in this area (17.1%). The main competitors of Carrefour in this area are Cora/Match/Francap (14.8%), Auchan (33.1%), Casino (10.1% market share), Intermarché (5.7%), Leclerc (4.9%), Aldi (5.8%), and Lidl (6.4%).  </w:t>
        <w:br/>
        <w:t xml:space="preserve">21. In the market encompassing all hypermarkets, supermarkets, and equivalent forms of commerce located within a 15-minute drive around the point of sale in Valenciennes (59), the target store represents 3.3% of the sales area. The total market share of the Carrefour group after the operation will rise to 35.7%, with the group holding eight other stores in this area (32.4%). The main competitors of Carrefour in this area are Auchan (47.2%), Aldi (6.3%), and Lidl (7.4%).  </w:t>
        <w:br/>
        <w:t xml:space="preserve">22. The risks of harming competition can therefore be ruled out in these markets.  </w:t>
        <w:br/>
        <w:t xml:space="preserve">23. Consequently, the operation is not likely to harm competition in the downstream distribution markets.  </w:t>
        <w:br/>
        <w:t xml:space="preserve">B. UPSTREAM SUPPLY MARKETS  </w:t>
        <w:br/>
        <w:t xml:space="preserve">24. Regarding the upstream supply markets, the operation is limited to four stores that represent only a marginal part of Carrefour's market shares in the relevant areas. The acquisition of exclusive control over the four business assets is therefore not likely to significantly strengthen Carrefour's purchasing power, across all products as well as by major product groups.  </w:t>
        <w:br/>
        <w:t>25. Therefore, the operation is not likely to harm competition in the upstream supply markets.</w:t>
      </w:r>
    </w:p>
    <w:p>
      <w:r>
        <w:t xml:space="preserve">DECIDES  </w:t>
        <w:br/>
        <w:t xml:space="preserve">Single Article: The operation notified under number 16-030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