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https://www.autoritedelaconcurrence.fr/fr/decision-de-controle-des-concentrations/relative-la-prise-de-controle-exclusif-par-le-groupe-8</w:t>
      </w:r>
    </w:p>
    <w:p>
      <w:r>
        <w:t>Pages translated : 2</w:t>
      </w:r>
    </w:p>
    <w:p/>
    <w:p>
      <w:r>
        <w:rPr>
          <w:b/>
        </w:rPr>
        <w:t>[Pages 1–2]</w:t>
      </w:r>
    </w:p>
    <w:p>
      <w:r>
        <w:t xml:space="preserve">FRENCH REPUBLIC  </w:t>
        <w:br/>
        <w:t xml:space="preserve">Decision No. 16-DCC-60 of May 26, 2016  </w:t>
        <w:br/>
        <w:t xml:space="preserve">regarding the exclusive control acquisition by the Eurazeo group of a  </w:t>
        <w:br/>
        <w:t xml:space="preserve">portfolio of business assets and real estate assets  </w:t>
        <w:br/>
        <w:t xml:space="preserve">The Competition Authority,  </w:t>
        <w:br/>
        <w:t xml:space="preserve">Having regard to the complete notification file submitted to the mergers department on April 22, 2016,  </w:t>
        <w:br/>
        <w:t xml:space="preserve">concerning the exclusive control acquisition by the Eurazeo group of a portfolio of business assets and real estate assets, formalized by a letter of offer, a draft framework agreement, and an exclusivity protocol dated December 22,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Eurazeo group of 61 business assets and real estate complexes, active in the hospitality sector. This operation constitutes a concentration operation within the meaning of Article L. 430-1 of the Commercial Code. Given the revenues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16-051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