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https://www.autoritedelaconcurrence.fr/fr/decision-de-controle-des-concentrations/relative-la-prise-de-controle-exclusif-par-le-groupe-9</w:t>
      </w:r>
    </w:p>
    <w:p>
      <w:r>
        <w:t>Pages translated : 2</w:t>
      </w:r>
    </w:p>
    <w:p/>
    <w:p>
      <w:r>
        <w:rPr>
          <w:b/>
        </w:rPr>
        <w:t>[Pages 1–2]</w:t>
      </w:r>
    </w:p>
    <w:p>
      <w:r>
        <w:t xml:space="preserve">FRENCH REPUBLIC  </w:t>
        <w:br/>
        <w:t xml:space="preserve">Decision No. 18-DCC-103 of June 20, 2018  </w:t>
        <w:br/>
        <w:t xml:space="preserve">regarding the exclusive control acquisition by the Neubauer group of the  </w:t>
        <w:br/>
        <w:t xml:space="preserve">company Damrémont Palace Automobiles  </w:t>
        <w:br/>
        <w:t>The Competition Authority,</w:t>
      </w:r>
    </w:p>
    <w:p>
      <w:r>
        <w:t xml:space="preserve">Having regard to the complete notification file sent to the mergers department on June 1, 2018,  </w:t>
        <w:br/>
        <w:t xml:space="preserve">concerning the exclusive control acquisition by the company Automobile Suffren, a shareholder of  </w:t>
        <w:br/>
        <w:t xml:space="preserve">the Neubauer group, of the company Damrémont Palace, and formalized by a letter of intent  </w:t>
        <w:br/>
        <w:t>signed on April 18, 2018;</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exclusive control acquisition by the Neubauer group of the  </w:t>
        <w:br/>
        <w:t xml:space="preserve">company Damrémont Palace Automobiles, which operates a car dealership for Skoda and Volkswagen brands in Paris (75).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18-103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