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https://www.autoritedelaconcurrence.fr/fr/decision-de-controle-des-concentrations/relative-la-prise-de-controle-exclusif-par-le-groupe-bailly</w:t>
      </w:r>
    </w:p>
    <w:p>
      <w:r>
        <w:t>Pages translated : 2</w:t>
      </w:r>
    </w:p>
    <w:p/>
    <w:p>
      <w:r>
        <w:rPr>
          <w:b/>
        </w:rPr>
        <w:t>[Pages 1–2]</w:t>
      </w:r>
    </w:p>
    <w:p>
      <w:r>
        <w:t xml:space="preserve">FRENCH REPUBLIC  </w:t>
        <w:br/>
        <w:t xml:space="preserve">Decision No. 13-DCC-54 of May 14, 2013  </w:t>
        <w:br/>
        <w:t xml:space="preserve">regarding the exclusive control acquisition by Groupe Bailly  </w:t>
        <w:br/>
        <w:t xml:space="preserve">of the companies Garage Schwartz and D.V.S Automobiles  </w:t>
        <w:br/>
        <w:t xml:space="preserve">The Competition Authority,  </w:t>
        <w:br/>
        <w:t xml:space="preserve">Having regard to the complete notification file submitted to the mergers department on April 16, 2013,  </w:t>
        <w:br/>
        <w:t xml:space="preserve">concerning the exclusive control acquisition of automotive businesses, Garage Schwartz and  </w:t>
        <w:br/>
        <w:t xml:space="preserve">D.V.S Automobiles, by Groupe Bailly, materialized by a synallagmatic promise of transfer, subject to conditions precedent, dated April 4, 2013;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two businesses, Garage Schwartz and D.V.S Automobiles, operating automotive dealerships for Volkswagen, Audi, and Seat brands in the cities of Haguenau, Sarrebourg, and Saverne (57 and 67), by Groupe Bailly, which operates automotive dealerships in the Lorraine and Alsace regions, and constitutes a concentration operation within the meaning of Article L. 430-1 of the Commercial Code. Given the revenues generated by the companies concerned, the operation does not have a community dimension.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13-058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