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https://www.autoritedelaconcurrence.fr/fr/decision-de-controle-des-concentrations/relative-la-prise-de-controle-exclusif-par-le-groupe-casino</w:t>
      </w:r>
    </w:p>
    <w:p>
      <w:r>
        <w:t>Pages translated : 6</w:t>
      </w:r>
    </w:p>
    <w:p/>
    <w:p>
      <w:r>
        <w:rPr>
          <w:b/>
        </w:rPr>
        <w:t>[Pages 1–3]</w:t>
      </w:r>
    </w:p>
    <w:p>
      <w:r>
        <w:t xml:space="preserve">FRENCH REPUBLIC  </w:t>
        <w:br/>
        <w:t xml:space="preserve">Decision No. 15-DCC-136 of October 26, 2015  </w:t>
        <w:br/>
        <w:t xml:space="preserve">regarding the exclusive control by the Casino group of  </w:t>
        <w:br/>
        <w:t xml:space="preserve">26 retail stores with a focus on food  </w:t>
        <w:br/>
        <w:t xml:space="preserve">The Competition Authority,  </w:t>
        <w:br/>
        <w:t xml:space="preserve">Having regard to the notification file submitted in full to the merger service on  </w:t>
        <w:br/>
        <w:t xml:space="preserve">September 22, 2015, regarding the exclusive control by the Casino group of 26 retail stores  </w:t>
        <w:br/>
        <w:t xml:space="preserve">with a focus on food operated under the Dia brand by the Carrefour group, formalized by a  </w:t>
        <w:br/>
        <w:t xml:space="preserve">memorandum of understanding signed on July 21, 2015;  </w:t>
        <w:br/>
        <w:t xml:space="preserve">Having regard to Book IV of the Commercial Code relating to price and competition freedom,  </w:t>
        <w:br/>
        <w:t xml:space="preserve">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Casino group, a French player in food distribution, manages a network of  </w:t>
        <w:br/>
        <w:t xml:space="preserve">over 14,000 stores (hypermarkets, supermarkets, convenience stores, discount stores) under  </w:t>
        <w:br/>
        <w:t xml:space="preserve">brands including Franprix, Géant Casino, Casino Supermarché, Petit Casino, Spar, Vival,  </w:t>
        <w:br/>
        <w:t xml:space="preserve">Monoprix, and Leader Price. The group is also present in the online distribution sector of  </w:t>
        <w:br/>
        <w:t xml:space="preserve">non-food products with the Cdiscount brand.  </w:t>
        <w:br/>
        <w:t xml:space="preserve">2. The Casino group is composed of several subsidiaries, including Distribution  </w:t>
        <w:br/>
        <w:t xml:space="preserve">Casino France (hereinafter, "DCF") and Franprix Leader Price Holding (hereinafter, "FLPH").  </w:t>
        <w:br/>
        <w:t xml:space="preserve">DCF is a simplified joint-stock company that holds all hypermarket, supermarket, and small  </w:t>
        <w:br/>
        <w:t xml:space="preserve">retail activities of the Casino group in France, except for points of sale operated under the  </w:t>
        <w:br/>
        <w:t xml:space="preserve">Monoprix brand. It particularly manages the activities under the Casino brands (Géant,  </w:t>
        <w:br/>
        <w:t xml:space="preserve">Casino Supermarché, Casino Shop, Petit Casino) and the group's convenience brands (Spar,  </w:t>
        <w:br/>
        <w:t xml:space="preserve">Vival). FLPH is a simplified joint-stock company, a subsidiary of DCF, whose corporate  </w:t>
        <w:br/>
        <w:t xml:space="preserve">purpose includes the management and acquisition of stakes in companies operating stores  </w:t>
        <w:br/>
        <w:t xml:space="preserve">under the Franprix and Leader Price brands.  </w:t>
        <w:br/>
        <w:t xml:space="preserve">3. The targets of the operation are 26 retail stores with a focus on food operated under  </w:t>
        <w:br/>
        <w:t xml:space="preserve">the Dia brand, currently controlled by the Carrefour group, which is active in the retail  </w:t>
        <w:br/>
        <w:t xml:space="preserve">distribution sector with a focus on food in France, as well as in Europe, South America,  </w:t>
        <w:br/>
        <w:t xml:space="preserve">Africa, and Asia. It manages a network of over 10,800 stores, including more than 5,000 in  </w:t>
        <w:br/>
        <w:t xml:space="preserve">France (hypermarkets, supermarkets, convenience stores, and cash &amp; carry stores). The group  </w:t>
        <w:br/>
        <w:t xml:space="preserve">is also present in the online distribution sector of non-food products.  </w:t>
        <w:br/>
        <w:t xml:space="preserve">4. The operation, formalized by a memorandum of understanding signed on July 21, 2015,  </w:t>
        <w:br/>
        <w:t xml:space="preserve">consists of the transfer of business assets of these 26 retail stores with a focus on food from  </w:t>
        <w:br/>
        <w:t xml:space="preserve">Carrefour to FLPH and DCF. As it results in the exclusive control of 26 retail stores with a  </w:t>
        <w:br/>
        <w:t xml:space="preserve">focus on food by Casino, the operation constitutes a concentration operation within the  </w:t>
        <w:br/>
        <w:t xml:space="preserve">meaning of Article L. 430-1 of the Commercial Code.  </w:t>
        <w:br/>
        <w:t xml:space="preserve">5. The concerned companies operate several retail stores and together achieve a total  </w:t>
        <w:br/>
        <w:t xml:space="preserve">worldwide turnover of over 75 million euros (Casino: 48.5 billion euros for the fiscal year  </w:t>
        <w:br/>
        <w:t xml:space="preserve">ending December 31, 2014; the target business assets: […] million euros for the same fiscal  </w:t>
        <w:br/>
        <w:t xml:space="preserve">year). They achieve in France, in the retail sector, a turnover exceeding 15 million euros  </w:t>
        <w:br/>
        <w:t xml:space="preserve">(Casino: 18.8 billion euros for the fiscal year ending December 31, 2014; the target business  </w:t>
        <w:br/>
        <w:t xml:space="preserve">assets: […] million euros for the same fiscal year). Given these turnover figures, the  </w:t>
        <w:br/>
        <w:t xml:space="preserve">operation does not fall under the jurisdiction of the European Union. However, the control  </w:t>
        <w:br/>
        <w:t xml:space="preserve">thresholds mentioned in II of Article L. 430-2 of the Commercial Code are exceeded. This  </w:t>
        <w:br/>
        <w:t xml:space="preserve">operation is therefore subject to the provisions of Articles L. 430-3 and following of the  </w:t>
        <w:br/>
        <w:t xml:space="preserve">Commercial Code relating to economic concentration.  </w:t>
        <w:br/>
        <w:t xml:space="preserve">II. Delimitation of relevant markets  </w:t>
        <w:br/>
        <w:t xml:space="preserve">6. According to the consistent practice of national and community competition authorities,  </w:t>
        <w:br/>
        <w:t xml:space="preserve">two categories of markets can be delineated in the food distribution sector. These are, on the  </w:t>
        <w:br/>
        <w:t xml:space="preserve">one hand, downstream markets, of a local dimension, which bring together retail companies  </w:t>
        <w:br/>
        <w:t xml:space="preserve">and consumers for the sale of consumer goods and, on the other hand, upstream supply  </w:t>
        <w:br/>
        <w:t xml:space="preserve">markets where companies as buyers are in contact with product manufacturers.  </w:t>
        <w:br/>
        <w:t xml:space="preserve">1 These retail stores with a focus on food are located in Beauzelle (31), Bourg-en-Bresse (01), Carros le Neuf (06),  </w:t>
        <w:br/>
        <w:t xml:space="preserve">Chars (95), Digne-les-Bains (04), Ernée (53), Estrée Blanche (62), Falaise (14), Fruges (62), Gex (01), Gratentour (31),  </w:t>
        <w:br/>
        <w:t xml:space="preserve">Halloy (62), Ham (80), Lagnieu (01), Lamotte-Beuvron (41), L’Argentière-la-Bessée (05), Limours (91), Lyon Lafayette (69),  </w:t>
        <w:br/>
        <w:t xml:space="preserve">Morsang-sur-Orge (91), Orbec (14), Pézenas (34), Plan de Campagne (13), Quillan (11), Saint-Denis (93), Tremblay-en-France  </w:t>
        <w:br/>
        <w:t xml:space="preserve">(93), and Uzès (30).  </w:t>
        <w:br/>
        <w:t xml:space="preserve">2 See in particular the Commission decision M.1684 Carrefour/Promodès of January 25, 2000. See also, in particular,  </w:t>
        <w:br/>
        <w:t xml:space="preserve">decisions No. 12-DCC-48 of April 6, 2012, regarding the exclusive control of Sofides by ITM Entreprises and No. 14-DCC-173 of  </w:t>
        <w:br/>
        <w:t xml:space="preserve">November 21, 2014, regarding the exclusive control of Dia France SAS by Carrefour France SAS.  </w:t>
        <w:br/>
        <w:t xml:space="preserve">3 See in particular the Commission decisions in cases M.1221 Rewe/Meinl of February 3, 1999, M.1684 Carrefour/Promodès of  </w:t>
        <w:br/>
        <w:t xml:space="preserve">January 25, 2000, and M.2115 Carrefour/GB of September 28, 2000. See also the decision C.2005-98 Carrefour/Penny Market of  </w:t>
        <w:br/>
        <w:t xml:space="preserve">November 10, 2005.  </w:t>
        <w:br/>
        <w:t xml:space="preserve">A. UPSTREAM SUPPLY MARKET  </w:t>
        <w:br/>
        <w:t xml:space="preserve">7. Regarding supply markets, the European Commission has recognized the existence of  </w:t>
        <w:br/>
        <w:t xml:space="preserve">national markets by major product groups, a delineation followed by national authorities.  </w:t>
        <w:br/>
        <w:t xml:space="preserve">8. There is no reason to challenge this delineation in the context of the present operation.  </w:t>
        <w:br/>
        <w:t xml:space="preserve">B. DOWNSTREAM DISTRIBUTION MARKETS  </w:t>
        <w:br/>
        <w:t xml:space="preserve">1. SERVICE MARKETS  </w:t>
        <w:br/>
        <w:t xml:space="preserve">9. Concerning the retail sale of everyday consumer goods, competition authorities distinguish  </w:t>
        <w:br/>
        <w:t xml:space="preserve">six categories of commerce using several criteria, including store size, sales techniques,  </w:t>
        <w:br/>
        <w:t xml:space="preserve">accessibility, the nature of the service provided, and the range of products offered: (i)  </w:t>
        <w:br/>
        <w:t xml:space="preserve">hypermarkets, (ii) supermarkets, (iii) specialized trade, (iv) small retail trade, (v) maxi  </w:t>
        <w:br/>
        <w:t xml:space="preserve">discount stores, and (vi) mail order sales.  </w:t>
        <w:br/>
        <w:t xml:space="preserve">10. Hypermarkets are usually defined as stores with a focus on food with a sales area equal to  </w:t>
        <w:br/>
        <w:t xml:space="preserve">or greater than 2,500 m², supermarkets as stores with a focus on food with a sales area  </w:t>
        <w:br/>
        <w:t xml:space="preserve">less than 2,500 m² and greater than 400 m², and convenience stores as stores with a focus  </w:t>
        <w:br/>
        <w:t xml:space="preserve">on food with a sales area less than 400 m² and greater than 120 m².  </w:t>
        <w:br/>
        <w:t xml:space="preserve">11. Regarding convenience stores with a focus on food, decision-making practice has  </w:t>
        <w:br/>
        <w:t xml:space="preserve">specified that it is necessary to analyze the conditions under which the market actually  </w:t>
        <w:br/>
        <w:t xml:space="preserve">operates, notably the fact that, in a number of geographical configurations, a hypermarket,  </w:t>
        <w:br/>
        <w:t xml:space="preserve">supermarket, or maxi-discount store may be habitually used by certain consumers as a  </w:t>
        <w:br/>
        <w:t xml:space="preserve">convenience store, in substitution for a convenience store, while specifying that the reverse  </w:t>
        <w:br/>
        <w:t xml:space="preserve">is not true.  </w:t>
        <w:br/>
        <w:t xml:space="preserve">12. In this case, among the 26 target stores, 22 of them have a sales area between 400 m² and  </w:t>
        <w:br/>
        <w:t>2,500 m² and therefore fall into the category of supermarkets. The other four stores...</w:t>
      </w:r>
    </w:p>
    <w:p>
      <w:r>
        <w:rPr>
          <w:b/>
        </w:rPr>
        <w:t>[Pages 4–6]</w:t>
      </w:r>
    </w:p>
    <w:p>
      <w:r>
        <w:t>target stores have a sales area between 120 and 400 m² and belong to the category of convenience stores.</w:t>
      </w:r>
    </w:p>
    <w:p>
      <w:r>
        <w:t>2. GEOGRAPHICAL DELIMITATION</w:t>
      </w:r>
    </w:p>
    <w:p>
      <w:r>
        <w:t>13. It follows from decision-making practice that the competitive conditions relating to supermarkets and hypermarkets are assessed in two different areas depending on the size of the stores:</w:t>
      </w:r>
    </w:p>
    <w:p>
      <w:r>
        <w:t>- a market where consumer demand and the supply of supermarkets and equivalent forms of commerce located less than 15 minutes' driving time away meet. These latter forms of commerce may include, in addition to supermarkets, hypermarkets located near consumers and discount stores;</w:t>
      </w:r>
    </w:p>
    <w:p>
      <w:r>
        <w:t>- a second market where the demand of consumers in an area and the supply of hypermarkets to which they have access in less than 30 minutes' driving time and which are, from their perspective, substitutable with each other meet.</w:t>
      </w:r>
    </w:p>
    <w:p>
      <w:r>
        <w:t>14. The Authority therefore considers that the competitive analysis must focus on these two markets when the target store is a hypermarket and that it only focuses on the first aforementioned market when the target store is a supermarket.</w:t>
      </w:r>
    </w:p>
    <w:p>
      <w:r>
        <w:t>15. Regarding convenience stores, the Authority has had the opportunity to specify that the relevant catchment area is smaller than that defined for supermarkets. Concerning provincial city centers, the Authority has thus examined the effects of the operation in catchment areas defined by taking into account walking distances of 10 minutes around the convenience stores, as walking was deemed more relevant than driving.</w:t>
      </w:r>
    </w:p>
    <w:p>
      <w:r>
        <w:t>16. The Authority, however, consistently reminds that these delimitations may evolve on a case-by-case basis, depending on the characteristics of the local area. The attractiveness of stores of the same format may vary according to the density and quality of the commercial equipment in an area. The socio-economic characteristics of the area concerned (population density, economic activity, geography, state of the road network) may also lead to refining, in the specific case, the usual delimitations presented above.</w:t>
      </w:r>
    </w:p>
    <w:p>
      <w:r>
        <w:t>17. In this specific case, for 22 of the target stores falling into the category of supermarkets, a catchment area defined by taking into account a maximum driving distance of 15 minutes has therefore been retained around the concerned stores. For the four convenience stores, the operation will be examined within a walking area of ten minutes around the four target stores.</w:t>
      </w:r>
    </w:p>
    <w:p>
      <w:r>
        <w:t>III. Competitive Analysis</w:t>
      </w:r>
    </w:p>
    <w:p>
      <w:r>
        <w:t>A. UPSTREAM SUPPLY MARKETS</w:t>
      </w:r>
    </w:p>
    <w:p>
      <w:r>
        <w:t>18. Regarding upstream supply markets, regardless of the product category considered, the market share of the Casino group does not exceed [10-20] %, and that of the target stores is less than [0-5] %. The combined share of purchases from the target stores and Casino in each of the markets defined by product category according to decision-making practice will remain below [10-20] %.</w:t>
      </w:r>
    </w:p>
    <w:p>
      <w:r>
        <w:t>19. The operation is therefore not likely to strengthen Casino's purchasing power in the upstream supply markets, regardless of the market segmentation retained.</w:t>
      </w:r>
    </w:p>
    <w:p>
      <w:r>
        <w:t>B. DOWNSTREAM RETAIL DISTRIBUTION MARKETS FOCUSING ON FOOD</w:t>
      </w:r>
    </w:p>
    <w:p>
      <w:r>
        <w:t>20. The operation does not result in any overlap of activities between the target stores and other stores owned by the Casino group in seventeen catchment areas, in which any risk of harm to competition can therefore be ruled out.</w:t>
      </w:r>
    </w:p>
    <w:p>
      <w:r>
        <w:t>21. On the other hand, the concentration entails an overlap of activities in nine catchment areas. Among these are eight supermarkets and one convenience store. The combined market shares of the parties in these catchment areas are as follows:</w:t>
      </w:r>
    </w:p>
    <w:p>
      <w:r>
        <w:t>| Number of Stores | Market Share of Dia | Market Share of Casino | Combined Market Share | Number of Competitors |</w:t>
        <w:br/>
        <w:t>|------------------|---------------------|-----------------------|-----------------------|-----------------------|</w:t>
        <w:br/>
        <w:t>| Gex (01)         | [5-10] %            | [0-5] %               | [10-20] %             | 3/6                   |</w:t>
        <w:br/>
        <w:t>| Carros le Neuf (06) | [0-5] %          | [0-5] %               | [5-10] %              | 2/6                   |</w:t>
        <w:br/>
        <w:t>| Gratentour (31)  | [30-40] %           | [0-5] %               | [30-40] %             | 4/15                  |</w:t>
        <w:br/>
        <w:t>| Beauzelle (31)   | [10-20] %           | [0-5] %               | [20-30] %             | 6/22                  |</w:t>
        <w:br/>
        <w:t>| Lyon Lafayette (69) | [20-30] %        | [0-5] %               | [20-30] %             | 4/4                   |</w:t>
      </w:r>
    </w:p>
    <w:p>
      <w:r>
        <w:t>22. It follows from this data that, in the areas of Gex, Carros le Neuf, Morsang-sur-Orge, Limours, and Saint-Denis, the combined market share of the parties will remain below [10-20] % following the operation, with the Casino group remaining faced with competition from at least three competing distribution groups.</w:t>
      </w:r>
    </w:p>
    <w:p>
      <w:r>
        <w:t>23. In the remaining four areas, the combined market share of the parties does not exceed [30-40] %. In each concerned area, the new entity will still face competition from at least six food distribution groups, except in the Lyon-Lafayette area. In this latter area, the Casino group will hold only [20-30] % of market share and will face two competing distribution groups, notably that of the Carrefour group, which operates [60-70] % of the area’s surfaces.</w:t>
      </w:r>
    </w:p>
    <w:p>
      <w:r>
        <w:t>24. Given the above elements, the operation is not likely to harm competition in the considered markets.</w:t>
      </w:r>
    </w:p>
    <w:p>
      <w:r>
        <w:t>DECIDES</w:t>
      </w:r>
    </w:p>
    <w:p>
      <w:r>
        <w:t>Single Article: The operation notified under number 15-141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