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https://www.autoritedelaconcurrence.fr/fr/decision-de-controle-des-concentrations/relative-la-prise-de-controle-exclusif-par-le-groupe-dejean</w:t>
      </w:r>
    </w:p>
    <w:p>
      <w:r>
        <w:t>Pages translated : 6</w:t>
      </w:r>
    </w:p>
    <w:p/>
    <w:p>
      <w:r>
        <w:rPr>
          <w:b/>
        </w:rPr>
        <w:t>[Pages 1–3]</w:t>
      </w:r>
    </w:p>
    <w:p>
      <w:r>
        <w:t xml:space="preserve">FRENCH REPUBLIC  </w:t>
        <w:br/>
        <w:t xml:space="preserve">Decision No. 13-DCC-143 of October 18, 2013  </w:t>
        <w:br/>
        <w:t xml:space="preserve">regarding the exclusive control by the Dejean group of a hypermarket owned by the Carrefour group  </w:t>
        <w:br/>
        <w:t xml:space="preserve">The Competition Authority,  </w:t>
        <w:br/>
        <w:t xml:space="preserve">Having regard to the notification file sent to the merger service on September 13, 2013,  </w:t>
        <w:br/>
        <w:t xml:space="preserve">regarding the exclusive control by the Dejean group of a business asset of a hypermarket owned by the Carrefour group, formalized by a letter of intent dated July 22, 2013;  </w:t>
        <w:br/>
        <w:t xml:space="preserve">Having regard to Book IV of the Commercial Code relating to price and competition freedom, and in particular its Articles L. 430-1 to L. 430-7;  </w:t>
        <w:br/>
        <w:t xml:space="preserve">Having regard to the additional information provided by the parties during the investigation;  </w:t>
        <w:br/>
        <w:t xml:space="preserve">Adopts the following decision:  </w:t>
        <w:br/>
        <w:t xml:space="preserve">I. The concerned companies and the operation  </w:t>
        <w:br/>
        <w:t xml:space="preserve">1. Dejean Holding is the company at the head of a group of companies (the "Dejean group") active in food distribution. The Dejean group owns and operates 7 hypermarkets and supermarkets, currently operated under the Hyper U and Super U brands. The Dejean group is wholly controlled by the Dejean family.  </w:t>
        <w:br/>
        <w:t xml:space="preserve">2. The Carrefour group, present in the retail sector with a food focus as well as in wholesale food distribution, operates hypermarkets in France under the Carrefour and Champion brands and supermarkets under the Champion and Carrefour Market brands. It also operates convenience stores under the Carrefour City, Carrefour Contact, Shopi, 8 à Huit, Marché plus, and Proxi brands. Carrefour also enters into branding and supply contracts with companies operating retail stores with a food focus, allowing these companies to operate their points of sale under one of the Carrefour group brands, to source from Carrefour's purchasing centers, to benefit from purchasing conditions negotiated by Carrefour with suppliers referenced by Carrefour, and to benefit from the services offered by Carrefour. The Carrefour group notably holds, through the company LV-DIS, a hypermarket with a sales area of 7,499 m² located in Issoire (63).  </w:t>
        <w:br/>
        <w:t xml:space="preserve">3. The parties signed a letter of intent on July 22, 2013, under the terms of which the company LV-DIS will lease-manage to a company of the Dejean group the business assets of the hypermarket located in Issoire (63)1. This contract will be concluded for a duration of […] and […].  </w:t>
        <w:br/>
        <w:t xml:space="preserve">4. Regarding control acquisition on a contractual basis, the European Commission indicated in its consolidated communication2 that "control acquisition can also be achieved on a contractual basis. To confer control, the contract must lead to control of the management and resources of the other company equivalent to that obtained by the acquisition of shares or assets. In addition to the transfer of control of management and resources, these contracts must be characterized by an extremely long duration (usually without the possibility of early termination by the party granting the contractual rights). Only this type of contract can induce a structural change in the market. Examples of such contracts are organizational contracts concluded under national company law or other types of contracts taking, for example, the form of management lease agreements, by which the acquirer gains control of management and resources despite the fact that ownership rights or shares are not transferred." The Commission also indicated that "a fixed duration does not exclude the possibility of a lasting change in control when [the] agreements are renewable"3.  </w:t>
        <w:br/>
        <w:t xml:space="preserve">5. Regarding management lease contracts, defined by Article L. 144-1 of the Commercial Code as "any contract or agreement by which the owner or operator of a business asset or artisanal establishment fully or partially leases it to a manager who operates it at their own risk," the Minister of Economy noted in a previous decision4 that "although the lessor may require the lessee to ensure that there is no depreciation, decrease in yield, or cessation of operation of the asset and that the lessee must, in principle, unless otherwise provided, respect the purpose of the asset, it can be accepted that, within the framework of a standard contract and generally speaking, the managing lessee does indeed control the conduct of the company's strategy"5.  </w:t>
        <w:br/>
        <w:t xml:space="preserve">6. In this case, [confidential]. This duration appears sufficient to consider that the management lease contract, which confers on the Dejean group control of the management and resources of the hypermarket owned by the Carrefour group, can induce a structural change in the food distribution markets6. Therefore, this operation can be considered as leading to a concentration within the meaning of Article L. 430-1-I of the Commercial Code.  </w:t>
        <w:br/>
        <w:t xml:space="preserve">1 [Confidential].  </w:t>
        <w:br/>
        <w:t xml:space="preserve">2 Paragraph 18 of the consolidated communication on the Commission's jurisdiction under Council Regulation (EC) No. 139/2004 on the control of concentrations between undertakings, published in the Official Journal of the European Union on April 16, 2008, corrected on February 21, 2009.  </w:t>
        <w:br/>
        <w:t xml:space="preserve">3 Paragraph 22 of the aforementioned communication.  </w:t>
        <w:br/>
        <w:t xml:space="preserve">4 Letter of March 20, 2003, from the Minister of Economy, Finance and Industry, to the board of the company Feu Vert, regarding a concentration in the sector of repair, maintenance, and sale of spare parts and automotive accessories.  </w:t>
        <w:br/>
        <w:t xml:space="preserve">5 See also the decision of the Competition Authority No. 09-DCC-46 of September 28, 2009, regarding the management lease by the company Distribution Casino France of a hypermarket owned by the company Doremi.  </w:t>
        <w:br/>
        <w:t>6 By way of comparison, it can be noted that the Commission, for the operation Deutsche Bahn/ECT International/United Depots/JV occurring in a sector different from that of the present operation, considered that a contract duration of 8 years was sufficient to induce a structural change in the market.</w:t>
      </w:r>
    </w:p>
    <w:p>
      <w:r>
        <w:t xml:space="preserve">7. The companies concerned operate retail stores and together achieve a total worldwide turnover of more than 75 million euros (Dejean group: 162 million euros for the fiscal year ending December 31, 2012; target business: 71 million euros for the same fiscal year). Each achieves, in France, in the retail sector, a turnover exceeding 15 million euros (Dejean group: 162 million euros for the fiscal year ending December 31, 2012; target business: 71 million euros for the same fiscal year). Given these turnovers, the operation does not have a Community dimension. However, the control thresholds mentioned in point II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8. According to the consistent practice of national and Community competition authorities7, two categories of markets can be delineated in the food distribution sector8. These are, on the one hand, "downstream" markets, of a local dimension, which bring together retail companies and consumers for the sale of consumer goods and, on the other hand, "upstream" markets for supplying retail companies with everyday consumer goods, of a national dimension.  </w:t>
        <w:br/>
        <w:t xml:space="preserve">A. DOWNSTREAM MARKETS OF DISTRIBUTION  </w:t>
        <w:br/>
        <w:t xml:space="preserve">1. SERVICE MARKETS  </w:t>
        <w:br/>
        <w:t xml:space="preserve">9. Regarding the retail sale of everyday consumer goods, competition authorities, both Community and national9, have distinguished six categories of trade using several criteria, including store size, sales techniques, accessibility, the nature of the service provided, and the range of products offered: (i) hypermarkets, (ii) supermarkets, (iii) specialized trade, (iv) small retail trade, (v) maxi discounters, (vi) mail order.  </w:t>
        <w:br/>
        <w:t xml:space="preserve">7 See in particular the decisions of the Commission M.946 Intermarché/Spar of June 30, 1997, M.991 Promodès/Casino of October 30, 1997, and M.1684 Carrefour/Promodès of January 25, 2000. See also the opinions of the Competition Council No. 97-A-14 of July 1, 1997, regarding the participation of the Carrefour company in the capital of the company Grands Magasins B (GMB), No. 98-A-06 of May 5, 1998, regarding the acquisition by the company Casino-Guichard-Perrachon of the company TLC Béatrice Holdings France SA, and No. 00-A-06 of May 3, 2000, regarding the acquisition by the company Carrefour of the company Promodès.  </w:t>
        <w:br/>
        <w:t xml:space="preserve">8 Decisions of the Commission M.1684 Carrefour/Promodès of January 25, 2000, and M.2115 Carrefour/GB of September 28, 2000. See also the letter from Minister C2005-98 of November 10, 2005, to the advisors of the Carrefour group, regarding a concentration in the food retail sector.  </w:t>
        <w:br/>
        <w:t>9 Letters from Minister C2005-98 of November 10, 2005, to the advisors of the Carrefour group, regarding a concentration in the food retail sector; C2006-15 of April 14, 2006, regarding a concentration in the food retail sector; C2007-154 of December 3, 2007, to the board of the company Système U Centrale Régionale Sud, regarding a concentration in the food retail sector; C2007-172 of February 13, 2008, to Mr. President of the Carrefour group, regarding a concentration in the food retail sector; C2008-32 of July 9, 2008, to the President of the company Amidis &amp; Compagnie, regarding a concentration in the food distribution sector.</w:t>
      </w:r>
    </w:p>
    <w:p>
      <w:r>
        <w:rPr>
          <w:b/>
        </w:rPr>
        <w:t>[Pages 4–6]</w:t>
      </w:r>
    </w:p>
    <w:p>
      <w:r>
        <w:t xml:space="preserve">10. Hypermarkets are usually defined as stores with a predominant food focus and a legal sales area equal to or greater than 2,500 m². Supermarkets, on the other hand, are usually considered as stores with a predominant food focus and a sales area less than 2,500 m² and greater than 400 m². These thresholds should nevertheless be used with caution and can be adapted to the specific case, when stores have an area close to a threshold, either below or above, and may be in direct competition in practice10.  </w:t>
        <w:br/>
        <w:t xml:space="preserve">11. In this case, the store involved in the operation currently occupies a sales area of 7,499 m², thus it falls into the category of hypermarkets.  </w:t>
        <w:br/>
        <w:t xml:space="preserve">2. GEOGRAPHICAL DELIMITATION  </w:t>
        <w:br/>
        <w:t xml:space="preserve">12. In its recent decisions regarding operations involving hypermarkets or supermarkets11, the Competition Authority recalled that depending on the size of the stores concerned, the conditions of competition should be assessed in two different areas:  </w:t>
        <w:br/>
        <w:t xml:space="preserve">- a first market where the demand from consumers in an area meets the supply of hypermarkets that they can access within less than 30 minutes of driving and which are, from their perspective, substitutable among themselves;  </w:t>
        <w:br/>
        <w:t xml:space="preserve">- a second market where the demand from consumers meets the supply of supermarkets and equivalent forms of commerce located within less than 15 minutes of driving time. These latter forms of commerce may include, in addition to supermarkets, hypermarkets located close to consumers and discount stores.  </w:t>
        <w:br/>
        <w:t xml:space="preserve">13. Other criteria may nevertheless be taken into account to assess the impact of a concentration on the competitive situation in retail distribution markets, which may lead to refining the usual delimitations.  </w:t>
        <w:br/>
        <w:t xml:space="preserve">14. In this case, the store involved falls into the category of hypermarkets, the competitive analysis will be conducted on both markets, one including hypermarkets located within a 30-minute radius around Issoire (63) and the other including all hypermarkets, supermarkets, and maxi-discount stores located within a catchment area of 15 minutes around Issoire (63).  </w:t>
        <w:br/>
        <w:t xml:space="preserve">10 See in particular decisions No. 09-DCC-04 of April 29, 2009, regarding the acquisition of the company Noukat by the company d’Exploitation Amidis &amp; Cie SAS, a subsidiary of the Carrefour group; No. 09-DCC-27 of July 24, 2009, regarding the exclusive acquisition of the company FRG by the Carrefour group, and the opinion of the Competition Council No. 00-A-06 of May 3, 2005, regarding the acquisition by the company Carrefour of the company Promodès.  </w:t>
        <w:br/>
        <w:t xml:space="preserve">11 See in particular decisions No. 09-DCC-04 of April 29, 2009, regarding the acquisition of the company Noukat by the company d’Exploitation Amidis &amp; Cie SAS, a subsidiary of the Carrefour group; No. 09-DCC-06 of May 20, 2009, regarding the exclusive acquisition of the company Evolis SAS by the company ITM Entreprises; No. 09-DCC-10 of May 28, 2009, regarding the exclusive acquisition of the company Frandis by the company Financière Perdis; No. 09-DCC-24 of July 23, 2009, regarding the exclusive acquisition of the company Floritine by the company CSF, a subsidiary of the Carrefour group.  </w:t>
        <w:br/>
        <w:t xml:space="preserve">B. UPSTREAM SUPPLY MARKETS  </w:t>
        <w:br/>
        <w:t xml:space="preserve">15. Regarding the supply markets, the European Commission12 has recognized the existence of markets of national dimension by major product groups, a delimitation followed by national authorities13.  </w:t>
        <w:br/>
        <w:t xml:space="preserve">16. There is no need to challenge this delimitation in the context of the present operation.  </w:t>
        <w:br/>
        <w:t xml:space="preserve">III. Competitive Analysis  </w:t>
        <w:br/>
        <w:t xml:space="preserve">A. DOWNSTREAM DISTRIBUTION MARKETS  </w:t>
        <w:br/>
        <w:t xml:space="preserve">17. In the market including hypermarkets located within a 30-minute catchment area by car around Issoire (63), the target hypermarket represents 11% of the sales areas. A hypermarket under the Carrefour Market brand, located in Brioude, is also present in this area. In total, the brands of the Carrefour group represent 17% of the sales areas in the area. These stores face competition from hypermarkets operated under the Leclerc brands (19% of sales areas in the area), Cora/Match/Francap (18%), Auchan (18%), Casino (17%), and Intermarché (12%).  </w:t>
        <w:br/>
        <w:t xml:space="preserve">18. In the market including all hypermarkets, supermarkets, and maxi-discount stores located within a 15-minute radius around Issoire (63), the target store represents 52.8% of the total sales areas with a predominant food focus. However, no other store under the Carrefour brand is located in this area, and the operation does not lead to any modification of the competitive structure there.  </w:t>
        <w:br/>
        <w:t xml:space="preserve">19. Consequently, the operation is not likely to harm competition in the downstream markets.  </w:t>
        <w:br/>
        <w:t xml:space="preserve">B. UPSTREAM SUPPLY MARKETS  </w:t>
        <w:br/>
        <w:t xml:space="preserve">20. Regarding the upstream supply markets, the operation, which concerns only one store already operated under the Carrefour brand, is not likely to strengthen the purchasing power of the group, across all products or by major product groups.  </w:t>
        <w:br/>
        <w:t xml:space="preserve">21. Therefore, the operation is not likely to harm competition in either the downstream market or the upstream supply market.  </w:t>
        <w:br/>
        <w:t xml:space="preserve">12 See the Commission decisions M.1684 Carrefour/Promodès of January 25, 2000, and M.2115 Carrefour/GB of September 28, 2000.  </w:t>
        <w:br/>
        <w:t>13 See in particular decisions C2007-172 Carrefour Plane/Plamidis of February 13, 2008, C2006-15 Amidis/Hamon of April 14, 2006, 2005-98 Carrefour/Penny market of November 19, 2005.</w:t>
      </w:r>
    </w:p>
    <w:p>
      <w:r>
        <w:t xml:space="preserve">DECIDES  </w:t>
        <w:br/>
        <w:t xml:space="preserve">Single Article: The operation notified under number 13-157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