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https://www.autoritedelaconcurrence.fr/fr/decision-de-controle-des-concentrations/relative-la-prise-de-controle-exclusif-par-le-groupe-ineos</w:t>
      </w:r>
    </w:p>
    <w:p>
      <w:r>
        <w:t>Pages translated : 6</w:t>
      </w:r>
    </w:p>
    <w:p/>
    <w:p>
      <w:r>
        <w:rPr>
          <w:b/>
        </w:rPr>
        <w:t>[Pages 1–3]</w:t>
      </w:r>
    </w:p>
    <w:p>
      <w:r>
        <w:t>FRENCH REPUBLIC</w:t>
        <w:br/>
        <w:t>Decision No. 19-DCC-160 of August 21, 2019</w:t>
        <w:br/>
        <w:t>regarding the exclusive control by the Ineos group of the SASP</w:t>
        <w:br/>
        <w:t>Olympique Gymnaste Club de Nice</w:t>
        <w:br/>
        <w:t>The Competition Authority,</w:t>
        <w:br/>
        <w:t>Having regard to the notification file submitted in full to the merger service on July 22, 2019,</w:t>
        <w:br/>
        <w:t>regarding the acquisition of control by the Ineos group of the SASP Olympique Gymnaste Club de</w:t>
        <w:br/>
        <w:t>Nice (hereinafter "OGC Nice"), an operation formalized by a transfer agreement dated</w:t>
        <w:br/>
        <w:t>July 11, 2019;</w:t>
        <w:br/>
        <w:t>Having regard to Book IV of the Commercial Code relating to the freedom of prices and competition, and</w:t>
        <w:br/>
        <w:t>notably its Articles L. 430-1 to L. 430-7;</w:t>
        <w:br/>
        <w:t>Having regard to the additional elements submitted by the parties during the investigation;</w:t>
        <w:br/>
        <w:t>Adopts the following decision:</w:t>
      </w:r>
    </w:p>
    <w:p>
      <w:r>
        <w:t>Summary1</w:t>
        <w:br/>
        <w:t>The Authority authorized the acquisition of the SASP Olympique Gymnaste Club de Nice (OGC Nice) by</w:t>
        <w:br/>
        <w:t>the company Ineos Industries Holding.</w:t>
        <w:br/>
        <w:t>The Authority ruled for the first time on the acquisition of a professional football club,</w:t>
        <w:br/>
        <w:t>which had not yet been examined by decision-making practice in France or</w:t>
        <w:br/>
        <w:t>Europe.</w:t>
        <w:br/>
        <w:t>For the purposes of its examination, the Authority considered that it was necessary to define a product market on which professional football clubs buy and sell player contracts; to arbitrate between the offers of different clubs, players rely on several criteria such as, for example, (i) net remuneration, (ii) the club's reputation, (iii) the duration of the contract, (iv) the competitiveness of the national championship in which the club competes, and (v) the international competitions in which the club participates. The Authority considered the international transfer market, noting, however, the significant share of player transfers that occur at the European level.</w:t>
        <w:br/>
        <w:t>The Authority also examined the sports marketing market, without specifically limiting it to a sport such as football. This market is, like the previous one, increasingly international.</w:t>
        <w:br/>
        <w:t>1 This summary is strictly informative. Only the reasons for the decision numbered below are authoritative.</w:t>
      </w:r>
    </w:p>
    <w:p>
      <w:r>
        <w:t>I. The Companies Concerned and the Operation</w:t>
        <w:br/>
        <w:t>1. Ineos Industries Holding is a company under English law, a subsidiary of Ineos Limited, the parent company of the Ineos group (hereinafter "Ineos"), ultimately owned by Mr. James Arthur Ratcliff. Ineos is a global group active in the manufacturing of petrochemical products, specialty chemicals, and petroleum products, as well as in the exploration and production of oil and gas. Ineos has also expanded its activities into the sports sector, notably by acquiring FC Lausanne-Sport, the main football club of the city of Lausanne, Switzerland, in 2017.</w:t>
        <w:br/>
        <w:t>2. The SASP Olympique Gymnaste Club de Nice Côte d’Azur (hereinafter "OGC Nice") is a professional sports company, created by the Association OGC Nice Côte d’Azur for the purpose of managing all activities related to the participation of the professional football club of this association, OGC Nice, in paid sporting events (Ligue 1/Ligue 2 championship, national cups, and, in case of qualification, European competitions).</w:t>
        <w:br/>
        <w:t>3. The operation is formalized by a transfer agreement signed by the parties on July 11, 2019. It consists of the acquisition by Ineos of 100% of the capital of the company OGC Nice Investment Company Limited, a company under Hong Kong law, which itself holds 78.26% of the shares and voting rights of OGC Nice. Insofar as it results in the acquisition of exclusive control by Ineos of OGC Nice, the operation constitutes a concentration operation within the meaning of Article L. 430-1 of the Commercial Code.</w:t>
        <w:br/>
        <w:t>4. The companies concerned together achieve a total worldwide turnover excluding taxes of more than 150 million euros (Ineos, [≥ 150 million] euros for the fiscal year ending December 31, 2018; OGC Nice, 52.3 million euros for the fiscal year ending December 31, 2018). Each of them has achieved, in France, a turnover exceeding 50 million euros (Ineos, [≥ 50 million] euros for the fiscal year ending December 31, 2018; OGC Nice, 52.3 million euros for the fiscal year ending December 31, 2018).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5. The sector concerned by the operation is that of professional football, which has never been examined by decision-making practice, both national and European. The notifying party proposed that the competitive analysis focus on the markets for ticketing for shows, the transfer of professional football players, and the marketing communication services market. A market test conducted with the ten largest competitors of OGC Nice confirmed the parties' position. In this case, the activities of the parties overlap in the markets for the transfer of professional football players and the marketing rights and sponsorship commercialization market2.</w:t>
        <w:br/>
        <w:t>2 The ticketing market being of national dimension, the activities of the parties do not overlap.</w:t>
      </w:r>
    </w:p>
    <w:p>
      <w:r>
        <w:rPr>
          <w:b/>
        </w:rPr>
        <w:t>[Pages 4–6]</w:t>
      </w:r>
    </w:p>
    <w:p>
      <w:r>
        <w:t>A. THE MARKET FOR THE TRANSFER OF PROFESSIONAL PLAYERS</w:t>
        <w:br/>
        <w:t>1. PRODUCT MARKET</w:t>
        <w:br/>
        <w:t>6. The notifying party considers that there is a market on which various professional clubs are present to sell and purchase player contracts. According to them, the purchase (or sale) price of players corresponds, from a legal standpoint, to the transfer fee that buying clubs pay to selling clubs in the event of early termination of the contract binding them to one of their players.</w:t>
        <w:br/>
        <w:t>7. To arbitrate between offers from different clubs, players rely on several criteria such as, for example, (i) net remuneration, (ii) the club's reputation, (iii) the duration of the contract, (iv) the competitiveness of the national championship in which the club competes, and (v) international competitions in which the club participates.</w:t>
        <w:br/>
        <w:t>8. Responses to the market test confirmed the existence and definition of the market as presented by the notifying party.</w:t>
        <w:br/>
        <w:t>2. GEOGRAPHICAL DELIMITATION</w:t>
        <w:br/>
        <w:t>9. According to the notifying party, competition for the transfer of professional players occurs among clubs worldwide. The vast majority of respondents to the market test also confirmed the international dimension of the transfer market, with only one respondent additionally mentioning a regional dimension for players coming out of training.</w:t>
        <w:br/>
        <w:t>10. However, it appears from the FIFA TMS document, submitted by the notifying party, that more than half of the transfers by volume occur between clubs affiliated with UEFA. This document also emphasizes that, although the transfer market continues to internationalize, transactions most often occur between clubs belonging to the same confederation. This implies that the European dimension of the market holds particular significance. In this regard, the parties operate within the European territory.</w:t>
        <w:br/>
        <w:t>11. In this case, the question of geographical delimitation, whether European or global, may, however, be left open, as the competitive analysis remains unchanged regardless of the assumption retained.</w:t>
        <w:br/>
        <w:t>B. THE MARKET FOR MARKETING COMMUNICATION AND SPONSORING SERVICES</w:t>
        <w:br/>
        <w:t>1. PRODUCT MARKET</w:t>
        <w:br/>
        <w:t>12. In its decision No. 09-D-314, the Competition Authority identified a market for sports marketing that connects rights holders and sponsoring companies. The decision-making practice of the European Commission has also identified a market for marketing communication services in the field of sports, encompassing a wide range of activities, such as advertising, information and consulting, public relations, direct marketing, and event management. However, national and European practice considers that it is not necessary to distinguish this market based on the sport.</w:t>
        <w:br/>
        <w:t>13. All respondents to the market test confirmed the existence of a non-segmented market for marketing communication and sponsoring services based on the sport.</w:t>
        <w:br/>
        <w:t>2. GEOGRAPHICAL MARKET</w:t>
        <w:br/>
        <w:t>14. National decision-making practice has retained a national dimension for the sports marketing market.</w:t>
        <w:br/>
        <w:t>15. However, a majority of respondents to the market test indicated that, as sponsors and advertisers are increasingly international players, the sports sponsoring market could be considered to have an international dimension.</w:t>
        <w:br/>
        <w:t>16. In this case, the question of geographical delimitation may, however, be left open, as the competitive analysis remains unchanged regardless of the assumption retained.</w:t>
        <w:br/>
        <w:t>III. Competitive Analysis</w:t>
        <w:br/>
        <w:t>17. In the market for the transfer of male football players, the market share of the new entity will remain below 1%, regardless of the geographical delimitation retained.</w:t>
        <w:br/>
        <w:t>18. In the market for marketing communication and sponsoring services at the European level, the only delimitation where the activities of the parties overlap, the new entity will have a market share of less than 1%.</w:t>
        <w:br/>
        <w:t>19. Furthermore, the new entity will remain subject to competition from all professional football clubs in France and Europe.</w:t>
        <w:br/>
        <w:t>20. The operation is therefore not likely to harm competition through horizontal effects in the identified markets.</w:t>
      </w:r>
    </w:p>
    <w:p>
      <w:r>
        <w:t>DECIDES</w:t>
        <w:br/>
        <w:t>Sole Article: The operation notified under number 19-179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