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https://www.autoritedelaconcurrence.fr/fr/decision-de-controle-des-concentrations/relative-la-prise-de-controle-exclusif-par-le-groupe-klesia</w:t>
      </w:r>
    </w:p>
    <w:p>
      <w:r>
        <w:t>Pages translated : 4</w:t>
      </w:r>
    </w:p>
    <w:p/>
    <w:p>
      <w:r>
        <w:rPr>
          <w:b/>
        </w:rPr>
        <w:t>[Pages 1–3]</w:t>
      </w:r>
    </w:p>
    <w:p>
      <w:r>
        <w:t xml:space="preserve">FRENCH REPUBLIC  </w:t>
        <w:br/>
        <w:t xml:space="preserve">Decision No. 13-DCC-171 of November 20, 2013  </w:t>
        <w:br/>
        <w:t xml:space="preserve">regarding the exclusive control by the Klésia group of an  </w:t>
        <w:br/>
        <w:t xml:space="preserve">insurance contract portfolio  </w:t>
        <w:br/>
        <w:t xml:space="preserve">The Competition Authority,  </w:t>
        <w:br/>
        <w:t xml:space="preserve">Having regard to the notification file submitted in full to the concentrations service on  </w:t>
        <w:br/>
        <w:t xml:space="preserve">October 14, 2013, regarding the exclusive control by the Klésia group of an insurance contract  </w:t>
        <w:br/>
        <w:t xml:space="preserve">portfolio with Generali Vie formalized by a protocol agreement and a portfolio transfer  </w:t>
        <w:br/>
        <w:t xml:space="preserve">agreement signed on June 25, 2013;  </w:t>
        <w:br/>
        <w:t xml:space="preserve">Having regard to Book IV of the Commercial Code relating to price freedom and competition,  </w:t>
        <w:br/>
        <w:t xml:space="preserve">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Klésia group is a parity social protection group resulting from the merger between  </w:t>
        <w:br/>
        <w:t xml:space="preserve">the Mornay and D&amp;O groups. It includes a summit association that defines the political and  </w:t>
        <w:br/>
        <w:t xml:space="preserve">strategic orientations of the group. A functioning agreement links the summit association with  </w:t>
        <w:br/>
        <w:t xml:space="preserve">the means association and each of the entities within the group's perimeter. It also includes  </w:t>
        <w:br/>
        <w:t xml:space="preserve">two interprofessional complementary retirement institutions (Klésia retraite ARCCO and  </w:t>
        <w:br/>
        <w:t xml:space="preserve">Klésia retraite AGIRC), a complementary transport retirement fund (Carcept), two  </w:t>
        <w:br/>
        <w:t xml:space="preserve">management associations for the End of Activity Leave in the transport sector (FONGECFA  </w:t>
        <w:br/>
        <w:t xml:space="preserve">and AGECFA), and two provident institutions (Klésia Prévoyance and Carcept Prévoyance),  </w:t>
        <w:br/>
        <w:t xml:space="preserve">a transport provident institution (IPRIAC), a public limited insurance company (DOmissimo  </w:t>
        <w:br/>
        <w:t xml:space="preserve">assurances), and two mutual insurance companies (Klésia Mutuelle and Mutuelle Carcept  </w:t>
        <w:br/>
        <w:t xml:space="preserve">Prev). The Klésia group operates in the personal insurance sector.  </w:t>
        <w:br/>
        <w:t xml:space="preserve">2. The portfolio of contracts, subject of the notified operation (hereinafter "the transferred  </w:t>
        <w:br/>
        <w:t xml:space="preserve">contracts"), numbering 43,350 in 2012, includes group personal insurance contracts  </w:t>
        <w:br/>
        <w:t xml:space="preserve">(provident and health insurance), subscribed by companies affiliated with a subscription  </w:t>
        <w:br/>
        <w:t xml:space="preserve">association on behalf of their employees. These contracts were subscribed between 1996 and  </w:t>
        <w:br/>
        <w:t xml:space="preserve">2007 by the Association de Prévoyance Groupe Mornay Europe (hereinafter "APGME"), on  </w:t>
        <w:br/>
        <w:t xml:space="preserve">behalf of its members with Generali Vie, which bears the insurance risk. APGME also  </w:t>
        <w:br/>
        <w:t xml:space="preserve">ensures the administrative management of these contracts. Since January 1, 2008,  </w:t>
        <w:br/>
        <w:t xml:space="preserve">subscription has been closed and these contracts are in run-off management. In 2012, these  </w:t>
        <w:br/>
        <w:t xml:space="preserve">contracts represented […] euros in gross premiums (of which […] for provident insurance and  </w:t>
        <w:br/>
        <w:t xml:space="preserve">[…] for health insurance).  </w:t>
        <w:br/>
        <w:t xml:space="preserve">3. The protocol agreement and the portfolio transfer agreement dated June 25, 2013,  </w:t>
        <w:br/>
        <w:t xml:space="preserve">provide for the transfer of the portfolio for the benefit of Klésia Prévoyance, the provident  </w:t>
        <w:br/>
        <w:t xml:space="preserve">institution of the Klésia group, and several concomitant operations no later than December 31,  </w:t>
        <w:br/>
        <w:t xml:space="preserve">2013. At the end of the operation, the insurance risk will be borne, no longer by Generali Vie,  </w:t>
        <w:br/>
        <w:t xml:space="preserve">but by Klésia Prévoyance. [Confidential]. The notified operation is therefore analyzed as the  </w:t>
        <w:br/>
        <w:t xml:space="preserve">exclusive control by the Klésia group of the transferred contracts. Consequently, this operation  </w:t>
        <w:br/>
        <w:t xml:space="preserve">constitutes a concentration within the meaning of Article L. 430-1 of the Commercial Code.  </w:t>
        <w:br/>
        <w:t xml:space="preserve">4. The companies concerned have achieved a consolidated worldwide turnover excluding taxes  </w:t>
        <w:br/>
        <w:t xml:space="preserve">of more than 150 million euros (Klésia group: […] euros for the fiscal year ending December  </w:t>
        <w:br/>
        <w:t xml:space="preserve">31, 2012; the transferred contracts: […] euros for the fiscal year ending December 31, 2012).  </w:t>
        <w:br/>
        <w:t xml:space="preserve">Each of these companies has achieved, in France, a turnover exceeding 50 million euros  </w:t>
        <w:br/>
        <w:t xml:space="preserve">(Klésia group: […] euros for the fiscal year ending December 31, 2012; the transferred  </w:t>
        <w:br/>
        <w:t xml:space="preserve">contracts: […] euros for the fiscal year ending December 31, 2012). Given these turnover  </w:t>
        <w:br/>
        <w:t xml:space="preserve">figures, the operation does not have a community dimension. On the other hand, the control  </w:t>
        <w:br/>
        <w:t xml:space="preserve">thresholds mentioned in I of Article L. 430-2 of the Commercial Code are exceeded. This  </w:t>
        <w:br/>
        <w:t xml:space="preserve">operation is therefore subject to the provisions of Articles L. 430-3 and following of the  </w:t>
        <w:br/>
        <w:t xml:space="preserve">Commercial Code relating to economic concentration.  </w:t>
        <w:br/>
        <w:t xml:space="preserve">II. Delimitation of relevant markets  </w:t>
        <w:br/>
        <w:t xml:space="preserve">5. The parties to the operation are both active in the insurance sector.  </w:t>
        <w:br/>
        <w:t xml:space="preserve">A. DELIMITATION OF PRODUCT OR SERVICE MARKETS  </w:t>
        <w:br/>
        <w:t xml:space="preserve">6. National and community decision-making practice consistently distinguishes reinsurance  </w:t>
        <w:br/>
        <w:t xml:space="preserve">activities from insurance activities.  </w:t>
        <w:br/>
        <w:t xml:space="preserve">7. Regarding reinsurance, national and community competition authorities consider it a distinct  </w:t>
        <w:br/>
        <w:t xml:space="preserve">market due to the specificity of its purpose (the distribution of risks among insurers) and the  </w:t>
        <w:br/>
        <w:t xml:space="preserve">less stringent regulatory constraints on this activity.  </w:t>
        <w:br/>
        <w:t xml:space="preserve">8. Regarding insurance activities, a distinction has been made between personal insurance and  </w:t>
        <w:br/>
        <w:t xml:space="preserve">property and liability insurance, each of which can be segmented into as many markets as  </w:t>
        <w:br/>
        <w:t xml:space="preserve">there are insurances covering different types of risks. Finally, additional segmentations have  </w:t>
        <w:br/>
        <w:t xml:space="preserve">been considered within personal insurance between group insurance contracts and individual  </w:t>
        <w:br/>
        <w:t xml:space="preserve">insurance contracts and within property and liability insurance between insurances aimed at  </w:t>
        <w:br/>
        <w:t xml:space="preserve">individuals and insurances aimed at professionals.  </w:t>
        <w:br/>
        <w:t xml:space="preserve">9. In this case, the operation leads to overlaps in activity in personal insurance, in the  </w:t>
        <w:br/>
        <w:t xml:space="preserve">following segments:  </w:t>
        <w:br/>
        <w:t xml:space="preserve">- the collective provident market which includes insurance products intended to cover  </w:t>
        <w:br/>
        <w:t xml:space="preserve">beneficiaries against an unpredictable loss of income (in the event of death, disability, or  </w:t>
        <w:br/>
        <w:t xml:space="preserve">incapacity) through a payment in the form of a capital sum or an annuity;  </w:t>
        <w:br/>
        <w:t xml:space="preserve">- the collective complementary health insurance market which aims to supplement the  </w:t>
        <w:br/>
        <w:t xml:space="preserve">benefits offered by mandatory health insurance schemes. The covered risk corresponds to  </w:t>
        <w:br/>
        <w:t xml:space="preserve">expenses not covered by social security that must be incurred for medical treatment.  </w:t>
        <w:br/>
        <w:t xml:space="preserve">Complementary reimbursements depend on the benefits of the legal social security scheme.  </w:t>
        <w:br/>
        <w:t xml:space="preserve">B. DELIMITATION OF GEOGRAPHICAL MARKETS  </w:t>
        <w:br/>
        <w:t xml:space="preserve">10. It follows from national and community decision-making practice that insurance markets,  </w:t>
        <w:br/>
        <w:t xml:space="preserve">with the exception of certain insurances covering large-scale risks, are of national dimension  </w:t>
        <w:br/>
        <w:t xml:space="preserve">given consumer preferences, the existence of national legislation and tax constraints, the  </w:t>
        <w:br/>
        <w:t xml:space="preserve">current structure of these markets, or regulatory systems.  </w:t>
        <w:br/>
        <w:t xml:space="preserve">11. There is no need to challenge these delimitations to analyze the effects of the present  </w:t>
        <w:br/>
        <w:t>operation.</w:t>
      </w:r>
    </w:p>
    <w:p>
      <w:r>
        <w:rPr>
          <w:b/>
        </w:rPr>
        <w:t>[Pages 4–4]</w:t>
      </w:r>
    </w:p>
    <w:p>
      <w:r>
        <w:t xml:space="preserve">III. Competitive Analysis  </w:t>
        <w:br/>
        <w:t xml:space="preserve">12. Following the operation, the combined market share of the parties will be respectively [5-10]% and [0-5]% in the market for group provident insurance and in the market for collective supplementary health insurance.  </w:t>
        <w:br/>
        <w:t xml:space="preserve">13. Furthermore, in each of these markets, the entity resulting from the notified operation will continue to face competition from numerous players whose market shares are larger than those of the new entity. Thus, the main competitors of the parties in the market for group provident insurance are Axa ([10-20]%), AG2R-LaMondiale ([10-20]%), Pro BTP ([10-20]%), and Groupama ([5-10]%). In the market for collective supplementary health insurance, the new entity will still face competition from groups such as Humanis ([10-20]%), Malakoff-Médéric ([10-20]%), and Axa ([5-10]%).  </w:t>
        <w:br/>
        <w:t xml:space="preserve">14. In light of the above, the notified operation is not likely to harm competition in the relevant markets for personal insurance.  </w:t>
        <w:br/>
        <w:t xml:space="preserve">DECIDES  </w:t>
        <w:br/>
        <w:t xml:space="preserve">Sole Article: The operation notified under number 13-165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