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https://www.autoritedelaconcurrence.fr/fr/decision-de-controle-des-concentrations/relative-la-prise-de-controle-exclusif-par-le-groupe-mary-0</w:t>
      </w:r>
    </w:p>
    <w:p>
      <w:r>
        <w:t>Pages translated : 2</w:t>
      </w:r>
    </w:p>
    <w:p/>
    <w:p>
      <w:r>
        <w:rPr>
          <w:b/>
        </w:rPr>
        <w:t>[Pages 1–2]</w:t>
      </w:r>
    </w:p>
    <w:p>
      <w:r>
        <w:t xml:space="preserve">FRENCH REPUBLIC  </w:t>
        <w:br/>
        <w:t xml:space="preserve">Decision No. 16-DCC-188 of November 30, 2016  </w:t>
        <w:br/>
        <w:t xml:space="preserve">regarding the exclusive control acquisition by the Mary group of an automobile dealership business  </w:t>
        <w:br/>
        <w:t xml:space="preserve">The Competition Authority,  </w:t>
        <w:br/>
        <w:t xml:space="preserve">Having regard to the notification file sent to the mergers department on October 4, 2016, and declared complete on October 27, 2016, concerning the exclusive control acquisition by the Mary group of an automobile dealership business, formalized by a transfer protocol dated September 27,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Mary group of an automobile dealership business under the Citroën brand in Caen (14).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16-191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