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https://www.autoritedelaconcurrence.fr/fr/decision-de-controle-des-concentrations/relative-la-prise-de-controle-exclusif-par-le-groupe-maus</w:t>
      </w:r>
    </w:p>
    <w:p>
      <w:r>
        <w:t>Pages translated : 2</w:t>
      </w:r>
    </w:p>
    <w:p/>
    <w:p>
      <w:r>
        <w:rPr>
          <w:b/>
        </w:rPr>
        <w:t>[Pages 1–2]</w:t>
      </w:r>
    </w:p>
    <w:p>
      <w:r>
        <w:t>FRENCH REPUBLIC</w:t>
        <w:br/>
        <w:t>Decision No. 19-DCC-88 of May 20, 2019</w:t>
        <w:br/>
        <w:t>regarding the acquisition of exclusive control by the Maus Frères group</w:t>
        <w:br/>
        <w:t>(Lacoste, Aigle, and Gant) over the company The Kooples Group</w:t>
        <w:br/>
        <w:t>The Competition Authority,</w:t>
      </w:r>
    </w:p>
    <w:p>
      <w:r>
        <w:t>Having regard to the complete notification file submitted to the mergers department on April 17, 2019,</w:t>
        <w:br/>
        <w:t>concerning the acquisition of exclusive control by Procastor Holding, owned by the Maus Frères group, over the company The Kooples Group, formalized by a memorandum of understanding dated April 3, 2019;</w:t>
      </w:r>
    </w:p>
    <w:p>
      <w:r>
        <w:t>Having regard to Book IV of the Commercial Code relating to the freedom of prices and competition, and in particular its Articles L. 430-1 to L. 430-7;</w:t>
      </w:r>
    </w:p>
    <w:p>
      <w:r>
        <w:t>Adopts the following decision:</w:t>
      </w:r>
    </w:p>
    <w:p>
      <w:r>
        <w:t>1. The notified transaction consists of the acquisition of exclusive control by the Maus Frères group, which notably holds the ready-to-wear brands Lacoste, Aigle, and Gant, over the company The Kooples Group. It constitutes a concentration within the meaning of Article L. 430-1 of the Commercial Code. Given the turnover achieved by the companies concerned, the transaction does not fall under the jurisdiction of the European Union. However, the control thresholds related to retail trade mentioned in II of Article L. 430-2 of the Commercial Code are exceeded. This transaction is therefore subject to the provisions of Articles L. 430-3 and following of the Commercial Code relating to economic concentration.</w:t>
      </w:r>
    </w:p>
    <w:p>
      <w:r>
        <w:t>2. The markets concerned by the transaction are those of the supply and retail distribution of clothing and accessories and footwear, consistently defined by the decision-making practice of the competition authorities.</w:t>
      </w:r>
    </w:p>
    <w:p>
      <w:r>
        <w:t>3. Regardless of the segmentations retained, the combined market shares of the parties are below 25%.</w:t>
      </w:r>
    </w:p>
    <w:p>
      <w:r>
        <w:t>4. Considering the elements of the file and in particular point 384 of the guidelines of the Competition Authority regarding the control of concentrations, the transaction is not likely to harm competition.</w:t>
      </w:r>
    </w:p>
    <w:p>
      <w:r>
        <w:t>DECIDES</w:t>
        <w:br/>
        <w:t>Sole Article: The notified transaction under number 19-089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