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https://www.autoritedelaconcurrence.fr/fr/decision-de-controle-des-concentrations/relative-la-prise-de-controle-exclusif-par-le-groupe-met</w:t>
      </w:r>
    </w:p>
    <w:p>
      <w:r>
        <w:t>Pages translated : 2</w:t>
      </w:r>
    </w:p>
    <w:p/>
    <w:p>
      <w:r>
        <w:rPr>
          <w:b/>
        </w:rPr>
        <w:t>[Pages 1–2]</w:t>
      </w:r>
    </w:p>
    <w:p>
      <w:r>
        <w:t xml:space="preserve">FRENCH REPUBLIC  </w:t>
        <w:br/>
        <w:t xml:space="preserve">Decision No. 23-DCC-167 of August 18, 2023  </w:t>
        <w:br/>
        <w:t xml:space="preserve">regarding the exclusive control acquisition by the MET group of a  </w:t>
        <w:br/>
        <w:t xml:space="preserve">portfolio of gas and electricity supply contracts belonging to Antargaz  </w:t>
        <w:br/>
        <w:t xml:space="preserve">The Competition Authority,  </w:t>
        <w:br/>
        <w:t xml:space="preserve">Having regard to the complete notification file submitted to the mergers department on August 2, 2023,  </w:t>
        <w:br/>
        <w:t xml:space="preserve">concerning the exclusive control acquisition by MET Energie France, a subsidiary of the MET group,  </w:t>
        <w:br/>
        <w:t xml:space="preserve">of a portfolio of assets mainly consisting of retail gas and electricity supply contracts belonging to Antargaz, formalized by the firm offer of May 24,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a portfolio of assets belonging to Antargaz by the MET group. The parties are active in the sectors of trading and retail supply of gas and electricity.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23-173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