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https://www.autoritedelaconcurrence.fr/fr/decision-de-controle-des-concentrations/relative-la-prise-de-controle-exclusif-par-le-groupe-pomona</w:t>
      </w:r>
    </w:p>
    <w:p>
      <w:r>
        <w:t>Pages translated : 10</w:t>
      </w:r>
    </w:p>
    <w:p/>
    <w:p>
      <w:r>
        <w:rPr>
          <w:b/>
        </w:rPr>
        <w:t>[Pages 1–3]</w:t>
      </w:r>
    </w:p>
    <w:p>
      <w:r>
        <w:t xml:space="preserve">FRENCH REPUBLIC  </w:t>
        <w:br/>
        <w:t xml:space="preserve">Decision No. 14-DCC-01 of January 2, 2014  </w:t>
        <w:br/>
        <w:t xml:space="preserve">regarding the exclusive control by the Pomona group of  </w:t>
        <w:br/>
        <w:t>certain assets of the company Européenne Food</w:t>
      </w:r>
    </w:p>
    <w:p>
      <w:r>
        <w:t xml:space="preserve">The Competition Authority,  </w:t>
        <w:br/>
        <w:t xml:space="preserve">Having regard to the notification file sent to the merger service on October 17, 2013, declared complete on November 28, 2013, regarding the exclusive control of certain assets of the company Européenne Food by the Pomona group, formalized by a partial takeover offer dated October 18,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Pomona group is an integrated importer, processor, and distributor of agri-food products. The Pomona group is controlled by the Dewavrin family, which holds 75% of its capital. The remainder of the capital is held by employees or former employees (16%), by a mutual fund (6%), and in self-control (3%). The activity of the Pomona group is organized into two branches: a distribution branch and an agri-industry branch. As part of its distribution activity, the Pomona group markets food and non-food products primarily to professional clients in the Out-of-Home Catering (hereinafter "RHD") and specialized food businesses. Distribution to RHD is organized into three branches: (i) TerreAzur (fresh fruits, vegetables, and seafood), (ii) PassionFroid (frozen products, fresh meat products, and dairy products), and (iii) Pomona Episaveurs (grocery products, beverages, non-food products, and hygiene products). Distribution to specialized businesses is organized into two branches: (i) Délice &amp; Création for bakers-pastry chefs (raw materials and solutions, beverages, confectionery, and snacking products and packaging) and (ii) Saveurs d’Antoine for butcher caterers (raw materials and solutions). As part of its agri-industry activity, the Pomona group imports, processes, packages, and markets fresh food products (fruits, vegetables, and seafood) to wholesalers and purchasing centers of distribution. This activity is conducted through two branches: (i) Les Crudettes: manufacturing of ready-to-use salads and vegetables (in the process of being sold to Financière SDH) and (ii) AllioMer: fish trading, import, and filleting of seafood products.  </w:t>
        <w:br/>
        <w:t xml:space="preserve">2. The targeted business assets of the company Européenne Food SAS (hereinafter the "target") encompass a wholesale distribution activity of beverages and confectionery and snacking products and, more marginally, cleaning products and packaging. More specifically, the target operates at the Villeneuve Saint-Georges site a "Full-Service Wholesaler" (hereinafter "GASC") and, through a warehouse in Fresnes, a "Cash &amp; Carry" wholesaler activity.  </w:t>
        <w:br/>
        <w:t xml:space="preserve">3. The notified operation consists of the acquisition by the Pomona group of tangible and intangible assets (all equipment used for the operation of the sites, trade names, clientele, stock, brands, technical and commercial files, administrative or legal authorizations necessary for operation, approvals, qualifications, and certifications, ongoing studies and projects, lease contracts), real estate assets at the Fresnes site, employment contracts, and IT contracts. These assets will be held by a subsidiary of the Pomona group created for this purpose, whose capital will be wholly owned by the Pomona group.  </w:t>
        <w:br/>
        <w:t xml:space="preserve">4. The notified operation is part of the judicial recovery procedure opened by a judgment of September 25, 2013, of the Commercial Court of Créteil for the benefit of the company Européenne Food SAS. The partial asset offer made by the Pomona company on October 18, 2013, was accepted by a judgment of the Commercial Court of Créteil dated October 30, 2013, rectified on November 20, 2013. Insofar as it results in the exclusive control by the Pomona group of certain assets of the company Européenne Food SAS, the notified operation constitutes a concentration within the meaning of Article L. 430-1 of the Commercial Code.  </w:t>
        <w:br/>
        <w:t xml:space="preserve">5. The companies concerned together achieve a total worldwide turnover of more than 150 million euros (the Pomona group: 2.83 billion euros for the fiscal year ending September 30, 2012; the target: […] euros for the fiscal year ending December 31, 2012). Each achieves in France a turnover exceeding 50 million euros (the Pomona group: 2.75 billion euros for the fiscal year ending September 30, 2012; the target: […] euros for the fiscal year ending December 31, 2012).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1 The GASC activity consists of ensuring not only the sale of products but also the preparation and delivery of orders to clients.  </w:t>
        <w:br/>
        <w:t>2 Unlike GASC wholesalers, Cash &amp; Carry wholesalers do not ensure the preparation of orders or their delivery to clients. They must travel to the warehouse and arrange their own transport logistics.</w:t>
      </w:r>
    </w:p>
    <w:p>
      <w:r>
        <w:t xml:space="preserve">II. Delimitation of the relevant markets  </w:t>
        <w:br/>
        <w:t xml:space="preserve">6. The Pomona group and the target are simultaneously present in the wholesale distribution sectors of beverages, confectionery and snacking products, cleaning products, and packaging products as well as in the supply of these products.  </w:t>
        <w:br/>
        <w:t xml:space="preserve">A. THE FOOD PRODUCTS SECTOR  </w:t>
        <w:br/>
        <w:t xml:space="preserve">1. THE UPSTREAM MARKETS FOR FOOD PRODUCT SUPPLY  </w:t>
        <w:br/>
        <w:t xml:space="preserve">a) Product markets  </w:t>
        <w:br/>
        <w:t xml:space="preserve">7. Regarding the "upstream" supply markets, the decision-making practice of the competition authorities does not distinguish the sale of everyday consumer goods by producers to wholesalers from those made to other clients such as retailers or out-of-home catering (hereinafter "RHF"). On the other hand, it delineates as many relevant markets as there are product groups (dairy products, charcuterie, catering products, seafood products, fruits and vegetables, fresh bread and pastries, meat products, frozen products, beverages, etc.).  </w:t>
        <w:br/>
        <w:t xml:space="preserve">8. In this case, the parties to the operation are simultaneously present in this market as buyers of beverages, snacking, and confectionery.  </w:t>
        <w:br/>
        <w:t xml:space="preserve">b) Geographical markets  </w:t>
        <w:br/>
        <w:t xml:space="preserve">9. The decision-making practice has considered that the geographical dimension of the food product supply market has a national dimension. It has thus noted that consumer preferences, tastes, and eating habits, price differences, variations in market shares held by major operators according to member states, and the presence of manufacturer or distributor brands marketed only at the national level did not allow for a European dimension of the market to be retained.  </w:t>
        <w:br/>
        <w:t xml:space="preserve">10. In this case, the parties are simultaneously present in metropolitan France. The analysis will therefore be conducted at this level.  </w:t>
        <w:br/>
        <w:t xml:space="preserve">2. DOWNSTREAM MARKETS FOR FOOD PRODUCT DISTRIBUTION  </w:t>
        <w:br/>
        <w:t xml:space="preserve">a) Product markets  </w:t>
        <w:br/>
        <w:t>11. Downstream, regarding the wholesale distribution of food products, national and European decision-making practice has repeatedly recognized the existence of distinct markets by channel.</w:t>
      </w:r>
    </w:p>
    <w:p>
      <w:r>
        <w:rPr>
          <w:b/>
        </w:rPr>
        <w:t>[Pages 4–6]</w:t>
      </w:r>
    </w:p>
    <w:p>
      <w:r>
        <w:t>distribution: large-scale distribution and food-dominant businesses, RHF, and the agri-food industry. In this case, the parties are simultaneously active in the sector of food product distribution to RHF.</w:t>
      </w:r>
    </w:p>
    <w:p>
      <w:r>
        <w:t>12. RHF traditionally consists of independent professionals (cafés, hotels, restaurants, hereinafter "CHR"), restaurant chains (corporate catering, etc.), and communities (hospitals, military, educational establishments, etc.) whose activity involves preparing and offering their clientele a particular mode of dining forming a menu, generally including a starter, a main course, cheese, and/or a dessert.</w:t>
      </w:r>
    </w:p>
    <w:p>
      <w:r>
        <w:t>13. Furthermore, a segmentation by type of clients has been considered, distinguishing the "major accounts" (restaurant chains and certain communities) that negotiate consolidated purchases on a national basis and smaller clients (notably CHR) whose supplies are made on a very short periodic basis. However, the Authority for Competition noted that, insofar as the marketed products and delivery conditions were identical for these two categories of clientele, there was no need to retain two distinct markets.</w:t>
      </w:r>
    </w:p>
    <w:p>
      <w:r>
        <w:t>14. Regarding the segmentation by types of products, four main families can be distinguished within the wholesale trade of food products: (i) fresh products, (ii) beverages, (iii) frozen products and ice creams, (iv) grocery products and confectionery (hereinafter "dry products"). The demand from food-dominant businesses generally encompasses all of these products, and wholesalers can offer a wide assortment of products. Nevertheless, many of them concentrate their activity on one of these families. In this case, the activity of the parties overlaps in the wholesale distribution market of beverages intended for RHF professionals and in the wholesale distribution market of dry products (snacking and confectionery) intended for RHF professionals.</w:t>
      </w:r>
    </w:p>
    <w:p>
      <w:r>
        <w:t>15. The parties argue that a finer segmentation within the wholesale beverage distribution market (between, in particular, hot beverages, cold non-alcoholic beverages, and alcoholic beverages, etc.) or within the wholesale distribution of snacking and confectionery (between, in particular, confectionery, savory snacking, or sweet snacking, etc.) is not relevant, as the products within these families are substitutable at the level of wholesalers' offerings to their professional clients. Indeed, these products are subject to the same conditions of preservation, storage, and transport. Moreover, RHF professionals must have access to a complete range of products. Furthermore, all wholesalers, except for very specific exceptions, are able to offer and sell these three categories. Finally, professionals in the RHF sector do not differentiate wholesalers based on the type of beverages but generally source from the same wholesaler for all the beverages they market. However, it is not necessary to resolve this question within the framework of the analysis of the present operation, as, regardless of the market delineations retained, the conclusions of the analysis will remain unchanged.</w:t>
      </w:r>
    </w:p>
    <w:p>
      <w:r>
        <w:t>16. Finally, the Authority for Competition considered it appropriate to distinguish cash-and-carry wholesale warehouses from traditional wholesale trade given the differences observed on both the demand and supply sides.</w:t>
      </w:r>
    </w:p>
    <w:p>
      <w:r>
        <w:t>b) Geographic markets</w:t>
      </w:r>
    </w:p>
    <w:p>
      <w:r>
        <w:t>17. National decision-making practice considers that the wholesale distribution markets for food products to RHF have a dual dimension: a national dimension, resulting from the characteristics of the demand from major RHF accounts, which negotiate their supply conditions at the national level; and a local dimension leading to the determination of catchment areas where wholesalers compete to meet the demand of CHR and local businesses.</w:t>
      </w:r>
    </w:p>
    <w:p>
      <w:r>
        <w:t>18. In this case, the analysis will be conducted at both the national and local levels, in Île-de-France, the only region where the activities of the parties overlap.</w:t>
      </w:r>
    </w:p>
    <w:p>
      <w:r>
        <w:t>B. THE CLEANING PRODUCTS SECTOR</w:t>
      </w:r>
    </w:p>
    <w:p>
      <w:r>
        <w:t>19. The parties to the operation are both active in the wholesale distribution sector of cleaning products for professional use, aimed at their RHF clientele.</w:t>
      </w:r>
    </w:p>
    <w:p>
      <w:r>
        <w:t>1. UPSTREAM MARKETS FOR THE SUPPLY OF HYGIENE AND CLEANING PRODUCTS FOR PROFESSIONAL USE</w:t>
      </w:r>
    </w:p>
    <w:p>
      <w:r>
        <w:t>a) Product markets</w:t>
      </w:r>
    </w:p>
    <w:p>
      <w:r>
        <w:t>20. Regarding the upstream markets for the supply of hygiene and cleaning products for professional use, national decision-making practice identifies as many markets as there are families of products. Indeed, producers who manufacture hygiene and cleaning products are not able to easily convert to the manufacture of other hygiene and cleaning products.</w:t>
      </w:r>
    </w:p>
    <w:p>
      <w:r>
        <w:t>21. In this case, the question of the delineation of the markets for the supply of hygiene products for professional use can be left open insofar as, regardless of the delineation retained, the conclusions of the competitive analysis will remain unchanged.</w:t>
      </w:r>
    </w:p>
    <w:p>
      <w:r>
        <w:t>b) Geographic markets</w:t>
      </w:r>
    </w:p>
    <w:p>
      <w:r>
        <w:t>22. National decision-making practice has considered that the upstream market for the supply of hygiene and cleaning products for professional use is at least of national dimension and more likely of European dimension. Indeed, the main manufacturers specializing in hygiene products for professional use active in France have a European or even global dimension, and the brands belonging to these groups are well-known brands recognized throughout Europe in professional circles.</w:t>
      </w:r>
    </w:p>
    <w:p>
      <w:r>
        <w:t>23. In this case, the exact geographic delineation of the market for the supply of hygiene and cleaning products for professional use can be left open, as, regardless of the delineation retained, the conclusions of the competitive analysis will remain unchanged.</w:t>
      </w:r>
    </w:p>
    <w:p>
      <w:r>
        <w:t>2. DOWNSTREAM MARKETS FOR WHOLESALE DISTRIBUTION OF HYGIENE AND CLEANING PRODUCTS FOR PROFESSIONALS</w:t>
      </w:r>
    </w:p>
    <w:p>
      <w:r>
        <w:t>a) Product markets</w:t>
      </w:r>
    </w:p>
    <w:p>
      <w:r>
        <w:t>24. National decision-making practice has identified a market for the distribution of hygiene and cleaning products intended for professionals by noting that the needs of professional clients (hospitals, clinics, hotels and restaurants, businesses, schools, administrations, etc.) are distinctly different from the demand of individuals, both in terms of quantity and quality.</w:t>
      </w:r>
    </w:p>
    <w:p>
      <w:r>
        <w:t>25. Furthermore, in this market for the distribution of hygiene and cleaning products to professionals, distributors purchase from manufacturers various types of hygiene and cleaning products to create a complete range that meets the needs of their clients. The aim is indeed to offer this clientele a sufficiently wide range of products to allow them to rely on a single operator for supplies or for hygiene advice. The major families of products distributed include products intended for wiping (industrial wiping, hand towels, napkins, tissues, etc.), cleaning products (cleaning agents, soap, disinfectants, etc.), protective products (gloves, gowns, clothing protection, examination sheets), or waste collection (plastic or paper bags, bins, etc.). Distributors generally address all types of professional clients mentioned above. Given these elements, it has been considered that the market for the distribution of hygiene and cleaning products to professionals constitutes a relevant market.</w:t>
      </w:r>
    </w:p>
    <w:p>
      <w:r>
        <w:t>26. There is no need to challenge this delineation during the examination of the present operation.</w:t>
      </w:r>
    </w:p>
    <w:p>
      <w:r>
        <w:t>b) Geographic markets</w:t>
      </w:r>
    </w:p>
    <w:p>
      <w:r>
        <w:t>27. National decision-making practice has not resolved the question of the exact delineation of the market for the distribution of hygiene and cleaning products to professionals but has conducted its analysis at both the national and local levels. It has notably isolated the Île-de-France region due to the particularly significant concentration of demand (offices, hospitality and restaurant businesses, co-ownerships, etc.) and suppliers in this region.</w:t>
      </w:r>
    </w:p>
    <w:p>
      <w:r>
        <w:t>28. It is not necessary in this case to delineate more precisely the geographic dimension of the markets involved in the present operation, as, regardless of the delineation retained, the conclusions of the analysis will remain unchanged.</w:t>
      </w:r>
    </w:p>
    <w:p>
      <w:r>
        <w:rPr>
          <w:b/>
        </w:rPr>
        <w:t>[Pages 7–9]</w:t>
      </w:r>
    </w:p>
    <w:p>
      <w:r>
        <w:t>C. THE PACKAGING PRODUCTS SECTOR</w:t>
      </w:r>
    </w:p>
    <w:p>
      <w:r>
        <w:t>1. UPSTREAM MARKETS FOR SUPPLYING PACKAGING PRODUCTS</w:t>
      </w:r>
    </w:p>
    <w:p>
      <w:r>
        <w:t>a) Product markets</w:t>
      </w:r>
    </w:p>
    <w:p>
      <w:r>
        <w:t>29. In terms of supply, national decision-making practice consistently considers it necessary to distinguish as many markets as there are families of products, given that producers cannot easily convert to the manufacture of products other than their own and that the structure of supply, pricing dynamics, or manufacturing constraints can vary significantly from one product family to another.</w:t>
      </w:r>
    </w:p>
    <w:p>
      <w:r>
        <w:t>30. Regarding the supply of packaging products, decision-making practice has identified the following families: (i) films and palletizing and identification accessories, (ii) adhesives and strapping, (iii) cushioning and protection, (iv) industrial packaging, (v) packaging products for food retail, (vi) packaging products for shops and boutiques, (vii) handling and storage, (viii) maintenance and hygiene, and (ix) office supplies.</w:t>
      </w:r>
    </w:p>
    <w:p>
      <w:r>
        <w:t>31. The parties are simultaneously present in the sector of supplying packaging products for food retail. It is therefore not necessary to make a precise determination of the different markets for the supply of packaging products, as, regardless of the delineation of the product families retained, the conclusions of the competitive analysis will remain unchanged.</w:t>
      </w:r>
    </w:p>
    <w:p>
      <w:r>
        <w:t>b) Geographic markets</w:t>
      </w:r>
    </w:p>
    <w:p>
      <w:r>
        <w:t>32. National decision-making practice has considered that the upstream market for supplying packaging products is at least of national dimension.</w:t>
      </w:r>
    </w:p>
    <w:p>
      <w:r>
        <w:t>2. DOWNSTREAM MARKETS FOR WHOLESALE DISTRIBUTION OF PACKAGING PRODUCTS</w:t>
      </w:r>
    </w:p>
    <w:p>
      <w:r>
        <w:t>a) Product markets</w:t>
      </w:r>
    </w:p>
    <w:p>
      <w:r>
        <w:t>33. In terms of the distribution of equipment products intended for professionals, national decision-making practice tends to segment the sector into as many markets as there are families of products, namely (i) films and palletizing and identification accessories, (ii) adhesives and strapping, (iii) cushioning and protection, (iv) industrial packaging, (v) packaging products for food retail, (vi) packaging products for shops and boutiques, (vii) handling and storage, (viii) maintenance and hygiene, and (ix) office supplies. Within each of these product families, additional segmentations have been considered.</w:t>
      </w:r>
    </w:p>
    <w:p>
      <w:r>
        <w:t>34. The parties are simultaneously present in the sector of distributing packaging products for food retail. It is therefore not necessary in this case to precisely segment the different downstream markets for wholesale distribution of packaging products, as, regardless of the delineation of the product families retained, the conclusions of the competitive analysis will remain unchanged.</w:t>
      </w:r>
    </w:p>
    <w:p>
      <w:r>
        <w:t>b) Geographic markets</w:t>
      </w:r>
    </w:p>
    <w:p>
      <w:r>
        <w:t>35. National decision-making practice has retained a national delineation, particularly considering notable cultural differences existing at the level of catalog design (languages and presentation), consumer habits, and the organization of the distribution system.</w:t>
      </w:r>
    </w:p>
    <w:p>
      <w:r>
        <w:t>36. It is not necessary to precisely delineate the geographic dimension of the markets concerned, as, regardless of the delineation retained, the conclusions of the competitive analysis will remain unchanged.</w:t>
      </w:r>
    </w:p>
    <w:p>
      <w:r>
        <w:t>III. Competitive Analysis</w:t>
      </w:r>
    </w:p>
    <w:p>
      <w:r>
        <w:t>37. As a preliminary point, it should be noted that the market shares were provided by the parties for the year 2012, during which the company Européenne Food SAS was fully operational. The parties emphasize that this activity collapsed in 2013 and that, given the difficulties currently faced by the Pomona group, the recovery of the acquired sites will be long and complex to organize. Consequently, they believe that the market share data are largely overestimated compared to the current and future situation of the acquired sites. The Pomona group's projections for the first three years anticipate an average revenue of the acquired sites of […] euros with a return to balance in the third year. By comparison, the revenue of the acquired sites totaled an annual revenue of […] on average over the last three fiscal years. The revenue of the acquired sites is therefore expected to be divided by three.</w:t>
      </w:r>
    </w:p>
    <w:p>
      <w:r>
        <w:t>38. Furthermore, given the disorganization of the acquired assets, the market shares provided have been calculated based on the best estimates of the parties.</w:t>
      </w:r>
    </w:p>
    <w:p>
      <w:r>
        <w:t>A. ON THE DOWNSTREAM MARKETS FOR WHOLESALE DISTRIBUTION</w:t>
      </w:r>
    </w:p>
    <w:p>
      <w:r>
        <w:t>39. The parties are simultaneously present in the downstream markets for wholesale distribution of food products (beverages, snacking, and confectionery), hygiene and cleaning products intended for professionals, and packaging products.</w:t>
      </w:r>
    </w:p>
    <w:p>
      <w:r>
        <w:t>On the downstream markets for wholesale distribution of food products intended for RHF professionals</w:t>
      </w:r>
    </w:p>
    <w:p>
      <w:r>
        <w:t>40. In the market for wholesale distribution of beverages intended for RHF professionals and any potential sub-segments of this market, the parties estimate that, based on 2012 data, their market shares will be below [5-10]% at the national level and below [10-20]% in Île-de-France, regardless of the segmentation retained. Moreover, the increment resulting from the notified operation is very low (below 1.5%, regardless of the market segmentation retained).</w:t>
      </w:r>
    </w:p>
    <w:p>
      <w:r>
        <w:t>41. In the market for wholesale distribution of snacking and confectionery products intended for RHF professionals, the parties estimate their cumulative market share in value in 2012 at the national level to be approximately [5-10]% including GASC and Cash &amp; Carry operators and approximately [5-10]% considering only GASC. The increment resulting from the operation is very low (less than 1%), with the Pomona group having a marginal presence in this market. In a market limited to the Île-de-France region, the cumulative market share of the parties is [10-20]% including GASC and Cash &amp; Carry operators and [10-20]% considering only GASC. The increment resulting from the notified operation is below 0.1%, with the Pomona group having a marginal presence in this market.</w:t>
      </w:r>
    </w:p>
    <w:p>
      <w:r>
        <w:t>On the downstream markets for wholesale distribution of hygiene and cleaning products intended for professionals</w:t>
      </w:r>
    </w:p>
    <w:p>
      <w:r>
        <w:t>42. The parties estimate their cumulative market share in value in 2012 in the national market for wholesale distribution of hygiene and cleaning products intended for professionals to be less than [0-5]% (the Pomona group: less than [0-5]%; the target: less than [0-5]%). At the level of the Île-de-France region, the parties estimate that their cumulative market share in 2012 does not exceed [0-5]%.</w:t>
      </w:r>
    </w:p>
    <w:p>
      <w:r>
        <w:t>On the downstream markets for wholesale distribution of packaging products</w:t>
      </w:r>
    </w:p>
    <w:p>
      <w:r>
        <w:t>43. The parties estimate their cumulative market share in volume in 2012 in the national market for wholesale distribution of packaging products for food retail to be [0-5]%.</w:t>
      </w:r>
    </w:p>
    <w:p>
      <w:r>
        <w:t>44. It follows from all these elements that the operation is not likely to harm competition through horizontal effects on the downstream wholesale distribution markets concerned by the operation.</w:t>
      </w:r>
    </w:p>
    <w:p>
      <w:r>
        <w:t>B. ON THE UPSTREAM MARKETS FOR SUPPLYING</w:t>
      </w:r>
    </w:p>
    <w:p>
      <w:r>
        <w:t>45. The parties are simultaneously present in the markets for supplying food products, hygiene and cleaning products, and packaging products.</w:t>
      </w:r>
    </w:p>
    <w:p>
      <w:r>
        <w:t>46. The notifying party estimates that following the operation, the Pomona group will account for less than [5-10]% of purchases at the national level in the markets for supplying food products, hygiene and cleaning products, and packaging products where the Pomona group and the target are simultaneously present, regardless of the segmentations of these markets retained. In each of these markets, suppliers have significant alternative outlets, notably with numerous competing wholesalers (generalists and specialists), large distribution operators, and end customers (direct sales by producers with the help of logistics providers).</w:t>
      </w:r>
    </w:p>
    <w:p>
      <w:r>
        <w:rPr>
          <w:b/>
        </w:rPr>
        <w:t>[Pages 10–10]</w:t>
      </w:r>
    </w:p>
    <w:p>
      <w:r>
        <w:t>47. It follows from these elements that the notified operation is not likely to significantly strengthen the purchasing power of the Pomona group in relation to their suppliers and to restrict access for its competitors to upstream markets.</w:t>
      </w:r>
    </w:p>
    <w:p>
      <w:r>
        <w:t>DECIDES</w:t>
      </w:r>
    </w:p>
    <w:p>
      <w:r>
        <w:t>Sole Article: The operation notified under number 13-189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