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https://www.autoritedelaconcurrence.fr/fr/decision-de-controle-des-concentrations/relative-la-prise-de-controle-exclusif-par-le-groupe-psa</w:t>
      </w:r>
    </w:p>
    <w:p>
      <w:r>
        <w:t>Pages translated : 6</w:t>
      </w:r>
    </w:p>
    <w:p/>
    <w:p>
      <w:r>
        <w:rPr>
          <w:b/>
        </w:rPr>
        <w:t>[Pages 1–3]</w:t>
      </w:r>
    </w:p>
    <w:p>
      <w:r>
        <w:t>FRENCH REPUBLIC</w:t>
        <w:br/>
        <w:t>Decision No. 10-DCC-194 of December 21, 2010</w:t>
        <w:br/>
        <w:t>regarding the exclusive control by the PSA group of the companies</w:t>
        <w:br/>
        <w:t>Sabrié, RNG, and PSE Automobiles</w:t>
        <w:br/>
        <w:t>The Competition Authority,</w:t>
        <w:br/>
        <w:t>Having regard to the notification file submitted in full to the concentrations service on</w:t>
        <w:br/>
        <w:t>November 19, 2010, concerning the exclusive control by the company Commerciale</w:t>
        <w:br/>
        <w:t>Automobile, a subsidiary of the PSA group, of the companies Sabrié, RNG, and PSE Automobiles, formalized by a share transfer agreement signed on October 29, 2010;</w:t>
        <w:br/>
        <w:t>Having regard to Book IV of the Commercial Code relating to price freedom and competition, and</w:t>
        <w:br/>
        <w:t>notably its Articles L. 430-1 to L. 430-7;</w:t>
        <w:br/>
        <w:t>Having regard to the supplementary elements transmitted by the parties during the investigation;</w:t>
        <w:br/>
        <w:t>Adopts the following decision:</w:t>
        <w:br/>
        <w:t>I. The companies concerned and the operation</w:t>
        <w:br/>
        <w:t>1. The Société Commerciale Automobile is a simplified joint-stock company controlled at 99% by the company Automobiles Peugeot, which is itself exclusively controlled by the company Peugeot SA, the head of the PSA group. The main activity of the Société Commerciale Automobile is the marketing and distribution of Peugeot brand vehicles. The PSA group, primarily active in the construction, distribution, maintenance, and repair of motor vehicles, is present in more than 140 countries with a number of vehicles sold amounting to over 3 million in 2009.</w:t>
        <w:br/>
        <w:t>2. The three simplified joint-stock companies Sabrié, RNG, and PSE Automobiles, which form the Sabrié group, operate car dealerships at seven different sites located within the departments of Val de Marne and Essonne. Benefiting from a dealership contract with the Peugeot brand, the three companies are active in the sale of new and used vehicles, in the sale of spare parts, and in repair and maintenance services.</w:t>
        <w:br/>
        <w:t>3. The operation, formalized by a share transfer agreement dated October 29, 2010, concerns the acquisition, by the Société Commerciale Automobile, of all the shares of the three companies Sabrié, RNG, and PSE Automobiles, currently held by CDA Motors. As it results in the acquisition of exclusive control of these three companies by the PSA group, the notified operation is a concentration operation within the meaning of Article L.430-1 of the Commercial Code.</w:t>
        <w:br/>
        <w:t>4. The companies concerned together achieve a total worldwide turnover of more than 75 million euros (PSA group: 48.4 billion euros for the fiscal year ending December 31, 2009; the transferred companies: 92 million euros for the same fiscal year). At least two of these companies achieve a turnover in France exceeding 15 million euros (PSA group: 15.7 billion euros for the fiscal year ending December 31, 2009; the transferred companies: 92 million euros for the same fiscal year). Given these turnover figures, the operation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br/>
        <w:t>II. Delimitation of relevant markets</w:t>
        <w:br/>
        <w:t>A. DELIMITATION OF PRODUCT AND SERVICE MARKETS</w:t>
        <w:br/>
        <w:t>5. In the automotive distribution sector, decision-making practice distinguishes:</w:t>
        <w:br/>
        <w:t>i. the distribution of new passenger motor vehicles intended for private customers;</w:t>
        <w:br/>
        <w:t>ii. the distribution of new passenger motor vehicles intended for professional customers;</w:t>
        <w:br/>
        <w:t>iii. the distribution of commercial motor vehicles (notably light utility vehicles);</w:t>
        <w:br/>
        <w:t>iv. the distribution of used motor vehicles;</w:t>
        <w:br/>
        <w:t>v. the distribution of spare parts and automotive accessories;</w:t>
        <w:br/>
        <w:t>vi. the distribution of maintenance and repair services for motor vehicles;</w:t>
        <w:br/>
        <w:t>vii. the distribution of rental services.</w:t>
        <w:br/>
        <w:t>6. There is no need to challenge these delimitations during the examination of the present operation.</w:t>
        <w:br/>
        <w:t>7. The companies concerned are simultaneously present in each of these markets, except for the market for the distribution of rental services, as the company of the Sabrié group active in this sector is not subject to a transfer to the PSA group in the context of this operation.</w:t>
        <w:br/>
        <w:t>1 See in particular decisions No. 09-DCC-01 of the Competition Authority of April 8, 2009, and 10-DCC-23 of March 1, 2010;</w:t>
        <w:br/>
        <w:t>2</w:t>
      </w:r>
    </w:p>
    <w:p>
      <w:r>
        <w:t>B. GEOGRAPHICAL DELIMITATION OF MARKETS</w:t>
        <w:br/>
        <w:t>8. Regarding the retail sale of motor vehicles, new or used, spare parts and automotive accessories, maintenance and repair services for motor vehicles, decision-making practice retains a local definition, with the analysis generally conducted at the departmental level 2.</w:t>
        <w:br/>
        <w:t>9. In the present case, the three transferred companies managing a total of seven businesses located respectively in the municipalities of Fontenay-sous-Bois, Joinville-le-Pont, Saint-Maur, Nogent-sur-Marne, Vincennes, Sucy-en-Brie, and Montgeron, the competitive analysis will be conducted on the departments of Val de Marne and Essonne.</w:t>
        <w:br/>
        <w:t>III. Competitive Analysis</w:t>
        <w:br/>
        <w:t>A. VEHICLE SALES MARKETS</w:t>
        <w:br/>
        <w:t>10. Regarding the calculation of market shares in vehicle sales activities, decision-making practice retains as an indicator the ratio between the vehicle sales made by the parties in the departments concerned by the operation and the total number of vehicle registrations recorded in these same departments by the prefectures.</w:t>
        <w:br/>
        <w:t>11. In this case, the Peugeot brand, which represents approximately 18% of the market for the sale of new motor vehicles nationally in 2009, is distributed through three different distribution channels:</w:t>
        <w:br/>
        <w:t>- direct sales operated by the manufacturer PSA to its staff, public administrations, and short-term vehicle rental companies;</w:t>
        <w:br/>
        <w:t>- branches and commercial subsidiaries whose capital belongs to the PSA group and which are equipped with a new car dealership contract (hereinafter "VN"), a spare parts distributor, and/or an authorized repairer;</w:t>
        <w:br/>
        <w:t>- independent dealers, generally equipped with the same contracts as the subsidiaries but whose capital does not belong to the PSA group, a category that includes the transferred companies.</w:t>
        <w:br/>
        <w:t>2 See the aforementioned decisions.</w:t>
      </w:r>
    </w:p>
    <w:p>
      <w:r>
        <w:rPr>
          <w:b/>
        </w:rPr>
        <w:t>[Pages 4–6]</w:t>
      </w:r>
    </w:p>
    <w:p>
      <w:r>
        <w:t>12. In the Val de Marne department, the position of the PSA group in the various vehicle sales markets following the operation will be as follows:</w:t>
        <w:br/>
        <w:t>Market Share Companies</w:t>
        <w:br/>
        <w:t>PSA Group Market Share Cumulative Market Share</w:t>
        <w:br/>
        <w:t>divested</w:t>
        <w:br/>
        <w:t>Distribution of new passenger vehicles</w:t>
        <w:br/>
        <w:t>intended for private customers 11.3% 7.2% 18.5%</w:t>
        <w:br/>
        <w:t>Distribution of new passenger vehicles</w:t>
        <w:br/>
        <w:t>intended for professional customers 17.1% 5.6% 22.7%</w:t>
        <w:br/>
        <w:t>Distribution of commercial vehicles</w:t>
        <w:br/>
        <w:t>18% 6.3% 24.3%</w:t>
        <w:br/>
        <w:t>Distribution of used vehicles 1.6% 0.7% 2.3%</w:t>
        <w:br/>
        <w:t>13. In these markets, the PSA group, which will hold 10 of the 45 establishments distributing the Peugeot or Citroën brand in the department following the operation, will remain in competition with numerous independent dealers of the Peugeot and Citroën brands. It will also face competition from dealers of competing brands, including Renault (the brand representing 27% of the new vehicle distribution market in the department in 2009), Volkswagen (6.6%), Ford (4.6%), Fiat (4.3%), and Toyota (3.7%).</w:t>
        <w:br/>
        <w:t>14. In the Essonne department, the position of the PSA group in the various vehicle sales markets following the operation will be as follows:</w:t>
        <w:br/>
        <w:t>Market Share Companies</w:t>
        <w:br/>
        <w:t>PSA Group Market Share Cumulative Market Share</w:t>
        <w:br/>
        <w:t>divested</w:t>
        <w:br/>
        <w:t>Distribution of new passenger vehicles</w:t>
        <w:br/>
        <w:t>intended for private customers 9.1% 1.6% 10.7%</w:t>
        <w:br/>
        <w:t>Distribution of new passenger vehicles</w:t>
        <w:br/>
        <w:t>intended for professional customers 11.7% 1% 12.7%</w:t>
        <w:br/>
        <w:t>Distribution of commercial vehicles</w:t>
        <w:br/>
        <w:t>11.9% 0.5% 12.4%</w:t>
        <w:br/>
        <w:t>Distribution of used vehicles 1.7% 0.8% 2.5%</w:t>
        <w:br/>
        <w:t>15. In these markets, the PSA group will continue to face competition from several independent dealers of the Peugeot and Citroën brands or dealers of competing brands, notably Renault (with 26% of the new vehicle distribution market in the department in 2009), Volkswagen (5.8%), Ford (5.9%), Fiat (3.4%), and Toyota (4%).</w:t>
        <w:br/>
        <w:t>16. The operation is therefore not likely to harm competition in these markets.</w:t>
        <w:br/>
        <w:t>B. MARKETS FOR SPARE PARTS AND MAINTENANCE AND REPAIR SERVICES</w:t>
        <w:br/>
        <w:t>17. Regarding the spare parts market, the parties assessed the market size by multiplying the total turnover achieved in France, estimated at 14 billion euros, by the ratio of vehicles in circulation in each concerned department to the total number of vehicles in circulation nationwide. On this basis, the PSA group and the divested companies estimate holding market shares of 3.5% and 1.6% in Val de Marne, resulting in a cumulative share of 5.1%, and market shares of 2.2% and 0.9% in Essonne, resulting in a cumulative share of 3.1%.</w:t>
        <w:br/>
        <w:t>18. Regarding the market for vehicle repair and maintenance services, the parties assessed the market size by multiplying the number of vehicles in circulation in the department by the average annual maintenance cost per vehicle, which they estimate to be 379 euros. On this basis, the parties consider holding market shares of 2.9% and 3.7% in Val de Marne, resulting in a cumulative share of 6.6%, and market shares of 3.3% and 1.2% in Essonne, resulting in a cumulative share of 4.5%.</w:t>
        <w:br/>
        <w:t>19. Furthermore, in these markets, the acquiring group will continue to face competition from other independent dealers of the Peugeot brand and garages and repairers authorized by this brand, both in Val de Marne and Essonne. It will also face competition from numerous independent garages and repairers, as well as specialized brands such as Midas, Centres AD, Feu Vert, Speedy, Feu Vert, or Norauto, which may offer consumers identical or equivalent quality spare parts and accessories, and maintenance and repair services for motor vehicles similar to those distributed by the brand's dealers.</w:t>
        <w:br/>
        <w:t>20. Given these elements, the operation is not likely to harm competition.</w:t>
      </w:r>
    </w:p>
    <w:p>
      <w:r>
        <w:t>DECIDES</w:t>
        <w:br/>
        <w:t>Sole Article: The operation notified under number 10-0214 is authorized.</w:t>
        <w:br/>
        <w:t>The Vice-President,</w:t>
        <w:br/>
        <w:t>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