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w:t>
      </w:r>
    </w:p>
    <w:p>
      <w:r>
        <w:t>Pages translated : 5</w:t>
      </w:r>
    </w:p>
    <w:p/>
    <w:p>
      <w:r>
        <w:rPr>
          <w:b/>
        </w:rPr>
        <w:t>[Pages 1–3]</w:t>
      </w:r>
    </w:p>
    <w:p>
      <w:r>
        <w:t xml:space="preserve">FRENCH REPUBLIC  </w:t>
        <w:br/>
        <w:t xml:space="preserve">Decision No. 11-DCC-112 of July 18, 2011  </w:t>
        <w:br/>
        <w:t xml:space="preserve">regarding the exclusive control by the Pittsburgh Plate Glass group of the Dyrup group  </w:t>
        <w:br/>
        <w:t xml:space="preserve">The Competition Authority,  </w:t>
        <w:br/>
        <w:t xml:space="preserve">Having regard to the notification file submitted in full to the merger service on June 9, 2011,  </w:t>
        <w:br/>
        <w:t xml:space="preserve">regarding the exclusive control by the Pittsburgh Plate Glass group (hereinafter, "PPG") of the Dyrup group, formalized by a share purchase agreement signed on May 5, 2011, between Monberg &amp; Thorsen and PPG Industries Inc.;  </w:t>
        <w:br/>
        <w:t xml:space="preserve">Having regard to Book IV of the Commercial Code relating to the freedom of prices and competition, and in particular its Articles L. 430-1 to L. 430-10;  </w:t>
        <w:br/>
        <w:t xml:space="preserve">Having regard to the additional elements submitted by the parties during the investigation;  </w:t>
        <w:br/>
        <w:t xml:space="preserve">Adopts the following decision:  </w:t>
        <w:br/>
        <w:t xml:space="preserve">I. The companies concerned and the operation  </w:t>
        <w:br/>
        <w:t xml:space="preserve">1. PPG Industries Inc. is the holding company of the PPG group, listed on the New York Stock Exchange. It controls more than two hundred subsidiaries worldwide, which together with it constitute the PPG group. This group is active in the production and sale, on a global level, of coatings, resins, glass, optical products, specialty materials, and chemicals.  </w:t>
        <w:br/>
        <w:t xml:space="preserve">2. The Danish company Dyrup A/S is the holding company of the Dyrup group, which controls subsidiaries established in Denmark, France, Germany, Poland, Portugal, Angola, and Austria. Dyrup A/S is controlled by Monberg &amp; Thorsen, a Danish financial holding company, which is itself controlled by the Ejnar &amp; Meta Thorsen foundation. The Dyrup group is active in the production and distribution of decorative coatings.  </w:t>
        <w:br/>
        <w:t>3. The operation, formalized by a share purchase agreement signed on May 5, 2011, between Monberg &amp; Thorsen and PPG Industries Inc., consists of the exclusive control of the Dyrup group by the PPG group. Consequently, the present operation constitutes a concentration within the meaning of Article L. 430-1 of the Commercial Code.</w:t>
      </w:r>
    </w:p>
    <w:p>
      <w:r>
        <w:t xml:space="preserve">4. The companies concerned together achieve a total worldwide turnover of more than 150 million euros (PPG group: 10.1 billion euros for the fiscal year ending December 31, 2010; Dyrup group: 193.4 million euros for the same fiscal year). Both the PPG group and the Dyrup group each achieve a turnover in France exceeding 50 million euros (PPG group: [...] million euros for the fiscal year ending December 31, 2010; Dyrup group: [...] million euros for the same fiscal year). Given these turnovers,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Definition of the relevant markets  </w:t>
        <w:br/>
        <w:t xml:space="preserve">5. The parties to the operation are simultaneously active in the decorative coatings sector.  </w:t>
        <w:br/>
        <w:t xml:space="preserve">A. PRODUCT MARKETS  </w:t>
        <w:br/>
        <w:t xml:space="preserve">6. Decorative coatings are paints and coatings used to cover surfaces (floors, ceilings, walls, and facades in particular) located both inside and outside buildings, during construction or renovation work. Decision-making practice has considered that decorative coatings constitute a distinct market from other types of coatings such as automotive coatings and industrial coatings.  </w:t>
        <w:br/>
        <w:t xml:space="preserve">7. Furthermore, the European Commission has considered segmenting the decorative coatings sector by distinguishing the market for decorative paints from that for wood protection products, given the difference in purpose between these two types of products. In the most recent cases, without definitively resolving the issue, the Commission has noted the significant substitutability of these products from the demand perspective, as well as the ability of operators to manufacture both types of products.  </w:t>
        <w:br/>
        <w:t xml:space="preserve">8. Moreover, French decision-making practice has considered the existence of a market for decorative paints distinct from that for industrial paints.  </w:t>
        <w:br/>
        <w:t xml:space="preserve">9. In addition, the European Commission has considered the existence of a segmentation between decorative coatings intended for professionals and products intended for non-professional buyers, referred to as "the general public," due to differences concerning distribution channels, technicality and quality of products, as well as the level of service related to the marketing of products, which are higher for products sold to professionals. Among decorative coatings intended for the general public, decision-making practice has considered a sub-segmentation between products sold under supplier brand ("MDF") and products sold under distributor brand ("MDD"). However, in the most recent cases, the Commission, without definitively resolving the issue, has noted the substitutability from the demand perspective of products intended for professionals and the general public and products sold under supplier and distributor brands.  </w:t>
        <w:br/>
        <w:t xml:space="preserve">10. Furthermore, the notifying party notes that decorative coatings can be sold to resellers at the wholesale trade level and to end buyers at the retail level, which would suggest the existence of distinct markets. Nevertheless, only the wholesale markets for decorative coatings are concerned by the operation as Dyrup is not present in the retail markets in France.  </w:t>
        <w:br/>
        <w:t xml:space="preserve">11. In this case, the question of the precise delimitation of the markets can be left open as, regardless of the delimitation retained, the conclusions of the competitive analysis will remain unchanged.  </w:t>
        <w:br/>
        <w:t xml:space="preserve">B. GEOGRAPHICAL DELIMITATION OF MARKETS  </w:t>
        <w:br/>
        <w:t xml:space="preserve">12. Decision-making practice as well as the notifying party consider that the markets for decorative coatings are of national dimension given differences in technical specifications, product properties, and product prices from one country to another. Moreover, manufacturers tend to have production capacities in the country of distribution, particularly because transportation costs hinder the profitability of transporting decorative coatings over long distances.  </w:t>
        <w:br/>
        <w:t xml:space="preserve">13. Consequently, there is no need to challenge the national dimension of the markets for decorative coatings concerned by the operation.  </w:t>
        <w:br/>
        <w:t xml:space="preserve">III. Competitive analysis  </w:t>
        <w:br/>
        <w:t>14. In the overall French market for the production of decorative coatings, PPG holds a market share of [10-20]% and Dyrup a market share of [0-5]%, resulting in a total of [10-20]% for the new entity. It will face competition from operators such as Akzo Nobel, which holds a market share of [10-20]%, and V33, Matéris, and Somefor, which hold market shares of [5-10]%, [5-10]%, and [5-10]%, respectively.</w:t>
      </w:r>
    </w:p>
    <w:p>
      <w:r>
        <w:rPr>
          <w:b/>
        </w:rPr>
        <w:t>[Pages 4–5]</w:t>
      </w:r>
    </w:p>
    <w:p>
      <w:r>
        <w:t>15. Regarding wholesale sales, the parties' activities only overlap in the wholesale market for wood protection products, as Dyrup has almost* no wholesale activity in France for decorative paints. The position of the new entity following the operation will therefore be examined in the overall segment of decorative coatings and solely in the sub-segment of wood protection products.</w:t>
      </w:r>
    </w:p>
    <w:p>
      <w:r>
        <w:t>Overall Decorative Coatings</w:t>
      </w:r>
    </w:p>
    <w:p>
      <w:r>
        <w:t>16. Firstly, regarding the wholesale sale of decorative coatings, the new entity will hold a market share of [10-20]% of total sales.</w:t>
      </w:r>
    </w:p>
    <w:p>
      <w:r>
        <w:t>17. In the segment of products intended for professionals, in which Dyrup is not significantly present, the market share of the new entity following the operation will rise to [20-30]%. Numerous suppliers are present in this segment, such as Matéris, with an estimated market share of [10-20]%, and Akzo Nobel, Daw Caparol, and Meffert, all of which hold a market share exceeding [5-10]%.</w:t>
      </w:r>
    </w:p>
    <w:p>
      <w:r>
        <w:t>18. In the segment of products intended for the general public, PPG holds a market share of [10-20]% before the operation, compared to [0-5]% for Dyrup, totaling [10-20]%. PPG faces competition in this market from Akzo Nobel, which holds a market share of [20-30]%, and V33, which holds a market share of [10-20]%. In accordance with decision-making practice, it is possible to consider a sub-segmentation of this market between products sold under MDF and products sold under MDD, sub-segments in which the new entity would have a more modest market share, with [10-20]% of the segment of decorative coatings intended for the general public sold under MDF and [10-20]% of the MDD segment.</w:t>
      </w:r>
    </w:p>
    <w:p>
      <w:r>
        <w:t>Wood Protection Products</w:t>
      </w:r>
    </w:p>
    <w:p>
      <w:r>
        <w:t>19. Secondly, regarding the wholesale sale of wood protection products alone, PPG represents [5-10]% of sales in the French market before the operation and Dyrup [10-20]%, totaling [20-30]%. The new entity will face competition from operators such as V33, Synthilor Blanchon, and Akzo Nobel, whose respective market shares are [10-20]%, [10-20]%, and [10-20]%.</w:t>
      </w:r>
    </w:p>
    <w:p>
      <w:r>
        <w:t>20. Regarding potential market segmentations, the new entity will represent [20-30]% of wholesale sales of wood protection products intended for professionals. It will face competition from Akzo Nobel and Matéris, which hold market shares of [10-20]% and [10-20]%, respectively. Regarding sales intended for the general public, the combined sales of PPG and Dyrup represent [10-20]% of the total, facing V33 and Synthilor/Blachon, which hold a market share of [20-30]%, and Akzo Nobel, which represents [10-20]% of the market. In this market, the new entity will represent [20-30]% of products sold under MDF and [10-20]% of products sold under MDD.</w:t>
      </w:r>
    </w:p>
    <w:p>
      <w:r>
        <w:t>* Material error corrected.</w:t>
      </w:r>
    </w:p>
    <w:p>
      <w:r>
        <w:t>21. Consequently, in light of the above elements, the present operation is not likely to affect competition in the decorative coatings markets.</w:t>
      </w:r>
    </w:p>
    <w:p>
      <w:r>
        <w:t>DECIDES</w:t>
      </w:r>
    </w:p>
    <w:p>
      <w:r>
        <w:t>Sole Article: The operation notified under number 11-0091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