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https://www.autoritedelaconcurrence.fr/fr/decision-de-controle-des-concentrations/relative-la-prise-de-controle-exclusif-par-le-groupement</w:t>
      </w:r>
    </w:p>
    <w:p>
      <w:r>
        <w:t>Pages translated : 6</w:t>
      </w:r>
    </w:p>
    <w:p/>
    <w:p>
      <w:r>
        <w:rPr>
          <w:b/>
        </w:rPr>
        <w:t>[Pages 1–3]</w:t>
      </w:r>
    </w:p>
    <w:p>
      <w:r>
        <w:t>FRENCH REPUBLIC</w:t>
        <w:br/>
        <w:t>Decision No. 14-DCC-23 of February 18, 2014</w:t>
        <w:br/>
        <w:t>regarding the exclusive control by the Système U group</w:t>
        <w:br/>
        <w:t>of 8 retail stores with a food focus</w:t>
        <w:br/>
        <w:t>The Competition Authority,</w:t>
        <w:br/>
        <w:t>Having regard to the notification file submitted in full to the merger service on January 24, 2014,</w:t>
        <w:br/>
        <w:t>regarding the exclusive control of 8 retail stores with a food focus by the companies Système U Centrale Nationale and Système U Centrale Régionale Nord-Ouest, formalized by a memorandum of understanding concluded on January 22, 2014;</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Système U Centrale Nationale is a union of cooperatives of retail merchants, whose shareholders are the four regional cooperatives of the Système U cooperative group (the companies Système U Centrale Régionale Est, Système U Centrale Régionale Nord-Ouest, Système U Centrale Régionale Ouest, and Système U Centrale Régionale Sud). The Système U cooperative group includes, in addition to Système U Centrale Nationale and the aforementioned four regional cooperatives, independent merchants, each owning their store, who operate stores under the Hyper U (68 stores), Super U (762 stores), Marché U (10 stores), U Express (290 stores), and Utile (401 stores) brands (hereinafter referred to as "the Système U group" or "Système U").</w:t>
        <w:br/>
        <w:t>2. The targets, namely eight retail stores with a food focus operated under the "Système U" brand, are transferred by Les Coopérateurs de Normandie Picardie, a regional cooperative active in the west of France, which is at the head of the Coopérateurs de Normandie Picardie group.</w:t>
        <w:br/>
        <w:t>1 These retail stores with a food focus are located in Darnétal (76), Mont Saint Aignan (76), Bonsecours (76), Mondeville (14), Bihorel (76), Albert (80), Abbeville (80), and Grand Quevilly (76).</w:t>
      </w:r>
    </w:p>
    <w:p>
      <w:r>
        <w:t>3. The operation, formalized by a memorandum of understanding dated January 22, 2014, involves the transfer by the Les Coopérateurs de Normandie-Picardie group to the Système U group of the business assets of eight retail stores with a food focus, the ownership of the premises of four of these stores, as well as the real estate lease agreements concerning the premises of the stores in Mondeville (76) and Abbeville (80). The memorandum signed on January 22, 2014, by the Système U group and Les Coopérateurs de Normandie Picardie further provides that companies of the Les Coopérateurs de Normandie Picardie group will continue to operate the target stores after the operation, in accordance with the terms of management lease agreements signed with Système U for a duration of six years non-renewable.</w:t>
        <w:br/>
        <w:t>4. As it results in the exclusive control of eight retail stores with a food focus by the Système U group, the operation constitutes a concentration operation within the meaning of Article L. 430-1 of the Commercial Code.</w:t>
        <w:br/>
        <w:t>5. The concerned companies operate several retail stores and together achieve a total worldwide turnover of more than 75 million euros (Système U: […] euros for the fiscal year ending December 31, 2012; the target business assets: […] euros for the same fiscal year). They achieve in France, in the retail sector, a turnover exceeding 15 million euros (Système U: […] euros for the fiscal year ending December 31, 2012; the target business assets: the above turnover is entirely realized in France). Given these turnover figures, the operation does not have a community dimension. On the other hand, the control thresholds mentioned in II of Article L. 430-2 of the Commercial Code are exceeded. This operation is therefore subject to the provisions of Articles L. 430-3 and following of the Commercial Code relating to economic concentration.</w:t>
        <w:br/>
        <w:t>II. Delimitation of relevant markets</w:t>
        <w:br/>
        <w:t>6. According to the consistent practice of national and community competition authorities, two categories of markets can be delineated in the food retail sector. These are, on the one hand, "downstream" markets, of a local dimension, which bring together retail businesses and consumers for the sale of consumer goods, and, on the other hand, "upstream" markets for supplying retail businesses with everyday consumer goods, of a national dimension.</w:t>
        <w:br/>
        <w:t>2 The stores whose premises will be transferred to Système U Centrale Nationale as part of this operation are located in Darnétal (76), Mont Saint Aignan (76), Bonsecours (76), Albert (80).</w:t>
        <w:br/>
        <w:t>3 See in particular the decisions of the Commission M.496 Intermarché/Spar of June 30, 1997, M.991 Promodès/Casino of October 30, 1997, and M.1684 Carrefour/Promodès of January 25, 2000. See also in particular decision No. 12-DCC-48 of April 6, 2012, regarding the exclusive control of Sofides by ITM Entreprises.</w:t>
        <w:br/>
        <w:t>4 See in particular the decisions of the Commission in cases M.1221 Rewe/Meinl of February 3, 1999, M.1684 Carrefour/Promodès of January 25, 2000, and M.2115 Carrefour/GB of September 28, 2000. See also decision C.2005-98 Carrefour/Penny Market of November 10, 2005.</w:t>
      </w:r>
    </w:p>
    <w:p>
      <w:r>
        <w:t>A. DOWNSTREAM MARKETS OF DISTRIBUTION</w:t>
        <w:br/>
        <w:t>1. SERVICE MARKETS</w:t>
        <w:br/>
        <w:t>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br/>
        <w:t>8.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w:t>
        <w:br/>
        <w:t>9. Competition authorities consider that, while each category of store retains its specificity, there is asymmetric competition between certain of these categories. Indeed, while the service provided overall by hypermarkets (diversity of products, depth of ranges, accessibility, low prices) is specific and not provided by any other form of commerce, the size criterion that determines the extent of the assortment of ranges between supermarkets and hypermarkets must be used with caution in each case, as stores whose area is close to the threshold that distinguishes them (2,500 m²), whether below or above, may, in fact, be in direct competition. Therefore, the conditions under which the market actually operates are taken into account, notably the fact that, in a number of geographical configurations, a hypermarket may be habitually used by certain consumers as a proximity store, in substitution for a supermarket. Conversely, the reverse is almost never verified and is even less so the larger the hypermarket in question is. Consequently, if the target store is a hypermarket, the analysis is conducted on a market comprising only hypermarkets, on the one hand, and on a market comprising supermarkets and equivalent forms of commerce (hypermarkets, hard discount, and popular stores) excluding small retail trade (less than 400 m²), on the other hand. If the target store is a supermarket, the analysis is conducted only on the second type of market mentioned above.</w:t>
        <w:br/>
        <w:t>10. In this case, among the eight points of sale operated under the Système U brand, four of them have a surface area between 2,563 m² and 11,750 m² and therefore fall into the category of hypermarkets. The other four target stores, which have a surface area between 1,646 m² and 2,081 m², therefore fall into the category of supermarkets.</w:t>
      </w:r>
    </w:p>
    <w:p>
      <w:r>
        <w:rPr>
          <w:b/>
        </w:rPr>
        <w:t>[Pages 4–6]</w:t>
      </w:r>
    </w:p>
    <w:p>
      <w:r>
        <w:t xml:space="preserve">2. GEOGRAPHICAL DELIMITATION  </w:t>
        <w:br/>
        <w:t xml:space="preserve">11. It follows from decision-making practice9 that the conditions of competition relating to supermarkets and hypermarkets are assessed in two different areas depending on the size of the stores:  </w:t>
        <w:br/>
        <w:t xml:space="preserve">- a market where consumer demand and the supply of supermarkets and equivalent forms of commerce located within less than 15 minutes of travel time by car meet. These latter forms of commerce may include, in addition to supermarkets, hypermarkets located near consumers and discount stores;  </w:t>
        <w:br/>
        <w:t xml:space="preserve">- a second market where the demand of consumers from an area and the supply of hypermarkets to which they have access in less than 30 minutes of travel by car meet and which are, from their point of view, substitutable among themselves.  </w:t>
        <w:br/>
        <w:t xml:space="preserve">12. The Authority therefore considers that the competitive analysis must focus on these two markets when the target store is a hypermarket and that it must focus only on the second market when the target store is a supermarket.  </w:t>
        <w:br/>
        <w:t xml:space="preserve">13. The Authority consistently reminds that these delimitations are subject to change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in the specific case, the usual delimitations presented above.  </w:t>
        <w:br/>
        <w:t xml:space="preserve">14. In the specific case, the markets concerned are catchment areas defined by taking into account a driving time of a maximum of 15 minutes and 30 minutes from the target stores which are hypermarkets, and catchment areas defined by taking into account a driving time of a maximum of 15 minutes from the target stores which are supermarkets.  </w:t>
        <w:br/>
        <w:t xml:space="preserve">B. UPSTREAM SUPPLY MARKET  </w:t>
        <w:br/>
        <w:t xml:space="preserve">15. Regarding the supply markets, the European Commission10 has recognized the existence of markets of national dimension by major product groups, a delimitation followed by national authorities11.  </w:t>
        <w:br/>
        <w:t xml:space="preserve">16. There is no need to challenge this delimitation in the context of the present operation.  </w:t>
        <w:br/>
        <w:t xml:space="preserve">9 See in particular the decisions of the Competition Authority n°11-DCC-04 of January 28, 2011, relating to the exclusive control of the company Mafical by the company ITM Alimentaire Région parisienne; decision n°11-DCC-05 of January 17, 2011, relating to the exclusive control of the company Distri Sud-Ouest by the company Retail Leader Price Investissement; decision n°11-DCC-45 of March 18, 2011, relating to the exclusive control of the business assets of the hypermarket Cora Desmarais by the company Sodex Desmarais, and decision n°12-DCC-63 mentioned above.  </w:t>
        <w:br/>
        <w:t xml:space="preserve">10 See the decisions of the Commission COMP / M.1684 Carrefour/Promodès of January 25, 2000, COMP / M.2115 Carrefour/GB of September 28, 2000.  </w:t>
        <w:br/>
        <w:t>11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 as well as the decision of the Competition Authority n°13-DCC-90 mentioned above.</w:t>
      </w:r>
    </w:p>
    <w:p>
      <w:r>
        <w:t xml:space="preserve">III. Competitive Analysis  </w:t>
        <w:br/>
        <w:t xml:space="preserve">A. UPSTREAM SUPPLY MARKETS  </w:t>
        <w:br/>
        <w:t xml:space="preserve">17. Regarding the upstream supply markets, the purchases of the entire Système U group represented in 2012 approximately […] euros, or [10-20]% of the overall supply market. The share of purchases by the Système U group is less than [10-20]% regardless of the product category considered. It should be noted that the cumulative amount of purchases made by the eight stores concerned by the operation amounts to […] euros, or less than [0-5]% of the amount of purchases made in France in the upstream supply market. The share of cumulative purchases of these eight target stores in each of the markets defined by product category according to decision-making practice is less than [0-5]%. Furthermore, the eight target stores have been operated since 2009 under the Système U brand and primarily source their supplies from Système U, with Les Coopérateurs de Normandie Picardie being a partner of one of the four regional cooperatives of the Système U group, Système U Centrale Régionale Nord Ouest.  </w:t>
        <w:br/>
        <w:t xml:space="preserve">18. The operation is therefore not likely to strengthen the purchasing power of Système U in the upstream supply markets, regardless of the market segmentation retained.  </w:t>
        <w:br/>
        <w:t xml:space="preserve">B. DOWNSTREAM MARKETS OF FOOD-RELATED RETAIL DISTRIBUTION  </w:t>
        <w:br/>
        <w:t xml:space="preserve">19. The operation does not result in any overlap of activities between the parties in the 15-minute and 30-minute zones defined around the target hypermarkets in Albert (80) and Abbeville (80).  </w:t>
        <w:br/>
        <w:t xml:space="preserve">20. The operation results in an overlap of activities between target stores and stores of the Système U group in the catchment areas of 15 minutes and 30 minutes defined around the target hypermarkets in Grand Quevilly (76) and Bihorel (76). However, in these areas, the cumulative market share of the parties will remain below 25% following the operation, and the parties will continue to face competition from at least four competing distribution groups.  </w:t>
        <w:br/>
        <w:t xml:space="preserve">21. The operation will also result in an overlap of activities between target stores and stores of the Système U group in the catchment areas of 15 minutes defined around each of the target supermarkets located in Bonsecours (76), Darnétal (76), Mont-Saint-Aignan (76), and Mondeville (14). However, in these areas, the cumulative market share of the parties will remain below 25% following the operation, and the parties will continue to face competition from at least six competing distribution groups.  </w:t>
        <w:br/>
        <w:t>22. Consequently, the operation is not likely to harm competition in the relevant food-related retail distribution markets.</w:t>
      </w:r>
    </w:p>
    <w:p>
      <w:r>
        <w:t xml:space="preserve">DECIDES  </w:t>
        <w:br/>
        <w:t xml:space="preserve">Sole Article: The operation notified under number 14-011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