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https://www.autoritedelaconcurrence.fr/fr/decision-de-controle-des-concentrations/relative-la-prise-de-controle-exclusif-par-les-societes</w:t>
      </w:r>
    </w:p>
    <w:p>
      <w:r>
        <w:t>Pages translated : 6</w:t>
      </w:r>
    </w:p>
    <w:p/>
    <w:p>
      <w:r>
        <w:rPr>
          <w:b/>
        </w:rPr>
        <w:t>[Pages 1–3]</w:t>
      </w:r>
    </w:p>
    <w:p>
      <w:r>
        <w:t xml:space="preserve">FRENCH REPUBLIC  </w:t>
        <w:br/>
        <w:t xml:space="preserve">Decision No. 11-DCC-163 of November 9, 2011  </w:t>
        <w:br/>
        <w:t xml:space="preserve">regarding the exclusive control by the companies SMABTP and Auxiliaire of a portfolio of corporate vehicle fleet insurance contracts  </w:t>
        <w:br/>
        <w:t xml:space="preserve">The Competition Authority,  </w:t>
        <w:br/>
        <w:t xml:space="preserve">Having regard to the notification file submitted in full to the merger service on October 5, 2011, regarding the exclusive control by the companies SMABTP (including through its subsidiary Sagena) and Auxiliaire of a portfolio of corporate vehicle fleet insurance contracts previously held by Covea Fleet, formalized by three portfolio transfer agreements "BTP automobile fleets" dated August 29, 2011, and three share transfer agreements dated August 16, 2011, concluded between Covea Fleet and, respectively, SMABTP, Sagena, and Auxiliaire, as well as a draft global agreement protocol;  </w:t>
        <w:br/>
        <w:t xml:space="preserve">Having regard to Book IV of the Commercial Code relating to price freedom and competition, and in particular its Articles L. 430-1 to L. 430-7;  </w:t>
        <w:br/>
        <w:t xml:space="preserve">Having regard to the additional information provided during the investigation;  </w:t>
        <w:br/>
        <w:t xml:space="preserve">Adopts the following decision:  </w:t>
        <w:br/>
        <w:t xml:space="preserve">I. The concerned companies and the operation  </w:t>
        <w:br/>
        <w:t xml:space="preserve">1. The company Mutuelle d’Assurance du Bâtiment et des Travaux Publics (hereinafter "SMABTP") is a mutual insurance company with variable contributions governed by the Insurance Code, which covers all non-life risks (ten-year liability, social risks, general liability, construction damage, property damage) of professionals in the building and public works sector. SMABTP notably holds [...] % of the capital of the company Sagena, which is also active in the field of insurance for professional risks of building and public works artisans.  </w:t>
        <w:br/>
        <w:t xml:space="preserve">2. Auxiliaire Mutuelle d’Assurance des Professionnels du Bâtiments et des Travaux Publics (hereinafter "Auxiliaire") is a mutual insurance company with variable contributions governed by the Insurance Code. It is active in the field of non-life insurance for professionals in the building and public works sector. It operates in the southeast quarter of France where it has twelve offices spread across thirteen departments.  </w:t>
        <w:br/>
        <w:t xml:space="preserve">3. SMABTP and Auxiliaire are affiliated with SGAM BTP, which includes SMABTP, Auxiliaire, CAM BTP, SMA Vie BTP, and Auxiliaire Vie1.  </w:t>
        <w:br/>
        <w:t xml:space="preserve">4. Covea Fleet is an insurance company specializing in fleet insurance. The capital of Covea Fleet is held by [...] % by the MMA group, [...] % by the MAAF group2, and [...] %, directly and indirectly, by SMABTP and Auxiliaire. The activity of Covea Fleet concerned by the operation involves a portfolio of corporate vehicle fleet insurance contracts in the construction sector (hereinafter "the transferred contract portfolio" or "the target")3.  </w:t>
        <w:br/>
        <w:t xml:space="preserve">5. The notified operation consists, on the one hand, of the acquisition by SMABTP (and its subsidiary Sagena) and Auxiliaire of the transferred contract portfolio, which includes all rights and obligations attached to it, and in particular, the assets, provisions, and liabilities related to the contracts, and on the other hand, the simultaneous and inseparable transfer of all shares held by SMABTP and Auxiliaire in the capital of Covea Fleet as well as the redeemable subordinated securities. Following the notified operation, the MMA group and the MAAF group will hold respectively [...] % and [...] % of the capital of Covea Fleet.  </w:t>
        <w:br/>
        <w:t xml:space="preserve">6. Insofar as it results in the exclusive control by SMABTP and Auxiliaire of the transferred contract portfolio, the notified operation constitutes a concentration within the meaning of Article L.430-1 of the Commercial Code.  </w:t>
        <w:br/>
        <w:t xml:space="preserve">7. The concerned companies together achieve a total worldwide turnover of more than 150 million euros in the last closed financial year (SGAM BTP: [...] billion euros; the target: [...] million euros). At least two of these companies achieve a turnover in France exceeding 50 million euros in the last closed financial year (SGAM BTP: [...] billion euros; the target: [...] million euros). Given these turnover figures, the operation does not have a community dimension. However, the control thresholds mentioned in I of Article L. 430-2 of the Commercial Code are exceeded. This operation is therefore subject to the provisions of Articles L. 430-3 and following of the Commercial Code relating to economic concentration.  </w:t>
        <w:br/>
        <w:t xml:space="preserve">1 C2006-36 – Letter from the Minister of Economy, Finance and Industry dated August 9, 2006, to the advisors of the company SMABTP, regarding a concentration in the insurance sector.  </w:t>
        <w:br/>
        <w:t xml:space="preserve">2 The MMA and MAAF groups are affiliated with SGAM Covea, the creation of which was subject to an authorization decision by the Minister of Economy, Finance and Industry dated November 21, 2003. Since that date, Covea Fleet has been part of the Covea group.  </w:t>
        <w:br/>
        <w:t>3 The portfolio, subject of the notified operation, notably includes the corporate vehicle fleet insurance contracts that SMABTP (and its subsidiary Sagena) had contributed in 2002 to Covea Fleet, the acquisition of which had been authorized by the Minister, as well as two new corporate fleet portfolios from the construction sector transferred to Covea Fleet in 2005 by SMABTP and Auxiliaire. See letter from the Minister of Economy, Finance and Industry dated November 14, 2002, to the advisors of the company Covea Fleet, regarding a concentration in the insurance sector for fleets of at least five vehicles.</w:t>
      </w:r>
    </w:p>
    <w:p>
      <w:r>
        <w:t xml:space="preserve">II. Delimitation of Relevant Markets  </w:t>
        <w:br/>
        <w:t xml:space="preserve">A. THE RELEVANT PRODUCT MARKETS  </w:t>
        <w:br/>
        <w:t xml:space="preserve">8. National and Community competition authorities distinguish between the markets for personal insurance, property insurance, and reinsurance. Regarding the first two categories of products, competition authorities have determined that they can be segmented into as many markets as there are insurances covering different types of risks, insofar as, from the demand perspective, insurances covering these different risks are not substitutable4.  </w:t>
        <w:br/>
        <w:t xml:space="preserve">9. Within property insurance, decision-making practice has distinguished between personal automobile insurance and corporate automobile insurance5. Regarding corporate automobile insurance, it has also considered that it is relevant to retain a distinct market for corporate vehicle fleet insurance, insofar as companies that have a fleet of vehicles have different automobile insurance needs than those of companies that do not have a fleet. In particular, they require a comprehensive approach that deviates from the vehicle-by-vehicle approach based on the bonus/malus system for traffic risks. Thus, fleet contracts are likely to offer guarantees covering several risks related to vehicles (traffic, professional liability, property damage, transported goods). On the other hand, decision-making practice did not consider it relevant to distinguish based on the sector of activity of the insured, namely the construction sector, insofar as the pricing conditions of corporate vehicle fleet insurance contracts depend essentially on claims experience, which is not fundamentally different across the considered sectors, and the insurance of construction fleets does not require specific expertise.  </w:t>
        <w:br/>
        <w:t xml:space="preserve">10. Furthermore, decision-making practice has considered the existence of distinct markets corresponding to the services associated with corporate vehicle fleet insurance but has left the question open insofar as these associated services were in an embryonic state and the positions of the parties were relatively weak6. In this case, the transferred contract portfolio includes some contracts that include guarantees related to vehicle assistance as well as guarantees related to legal protection.  </w:t>
        <w:br/>
        <w:t xml:space="preserve">11. Regarding the guarantees related to assistance, decision-making practice has recognized the existence of an assistance market that includes cash or in-kind services aimed at helping the insured when faced with an unforeseen event. It noted that it is possible to distinguish (i) medical assistance (medical repatriation, coverage of medical expenses abroad), (ii) domestic assistance (childcare, delivery of medications), and (iii) technical assistance (breakdown assistance, vehicle loan).  </w:t>
        <w:br/>
        <w:t xml:space="preserve">4 See in particular European Commission decision No. COMP/M.5425 Metlife/Aloco/Delam of August 24, 2010; decision of the Competition Authority 10-DCC-52 of June 2, 2010, regarding the creation of a Mutual Insurance Group ("SGAM") by MACIF, MAIF, and MATMU; and decision of the Competition Authority 11-DCC-156 of October 24, 2011, regarding the merger by absorption of the mutuals Adrea Mutuelle (absorbing mutual), Adrea Mutuelle Bourgogne, Adrea Mutuelle Pays de Savoie, Adrea Mutuelle Muti, Adrea Mutuelle Franche-Comté, Adrea Mutuelle Unilia, Adrea Mutuelle Centre Auvergne, and the contribution of the portfolio of Adrea Mutuelle Pays de l'Ain to Adrea Mutuelle.  </w:t>
        <w:br/>
        <w:t xml:space="preserve">5 See the aforementioned letter from the Minister of Economy, Finance and Industry dated November 14, 2002.  </w:t>
        <w:br/>
        <w:t>6 Id.</w:t>
      </w:r>
    </w:p>
    <w:p>
      <w:r>
        <w:rPr>
          <w:b/>
        </w:rPr>
        <w:t>[Pages 4–6]</w:t>
      </w:r>
    </w:p>
    <w:p>
      <w:r>
        <w:t xml:space="preserve">replacement)7. In this case, only technical assistance is concerned by certain contracts in the portfolio of transferred contracts.  </w:t>
        <w:br/>
        <w:t xml:space="preserve">12. Regarding the guarantees related to legal protection, decision-making practice has recognized the existence of a legal protection market, which is defined as an optional insurance for legal advice and coverage of legal costs in the event of a dispute between the insured and a third party8. In this case, SMABTP and the Auxiliaire are limited to distributing legal protection contracts on behalf of DAS (MMA).  </w:t>
        <w:br/>
        <w:t xml:space="preserve">13. The question of whether the services associated with the insurance of company vehicle fleets constitute distinct markets can be left open in this case, insofar as, regardless of the delineation retained, the competitive analysis will remain unchanged.  </w:t>
        <w:br/>
        <w:t xml:space="preserve">B. THE RELEVANT GEOGRAPHICAL MARKETS  </w:t>
        <w:br/>
        <w:t xml:space="preserve">14. With the exception of certain insurances covering large-scale risks, the insurance product markets have been considered to be of national dimension given consumer preferences, the existence of national legislation and tax constraints, the current structure of these markets, and regulatory systems.  </w:t>
        <w:br/>
        <w:t xml:space="preserve">15. There is no need to challenge these delineations in the context of the present operation.  </w:t>
        <w:br/>
        <w:t xml:space="preserve">III. Competitive Analysis  </w:t>
        <w:br/>
        <w:t xml:space="preserve">A. THE MARKET FOR COMPANY VEHICLE FLEET INSURANCE  </w:t>
        <w:br/>
        <w:t xml:space="preserve">16. The market for company vehicle fleet insurance represented approximately 200,000 contracts in 2009, with a total premium amount estimated at €1.816 billion9. Following the operation, SGAM BTP will hold a market share of [5-10] % (SMABTP/Sagena: [0-5] %; Auxiliaire: [0-5] %; CAM BTP: [0-5] %), with the acquisition of the transferred contract portfolio representing an increment of [0-5] %.  </w:t>
        <w:br/>
        <w:t xml:space="preserve">17. SGAM BTP will continue to face competition from large insurance groups such as AXA ([20-30] %), Groupama-Gan ([20-30] %), Covea Fleet ([10-20] %), Allianz Generali ([5-10] %), Chartis ([0-5] %), Macif-Macifilia ([0-5] %), Aviva ([0-5] %), as well as numerous other players who together represent [10-20] % of the market.  </w:t>
        <w:br/>
        <w:t xml:space="preserve">18. The notified operation will allow the emergence of a new player in the French market for company vehicle fleet insurance capable of competing with the five major insurance groups that together represent nearly 73 % of the market. Indeed, prior to the operation, within SGAM BTP, only CAM BTP was active in this market with a market share of [0-5] %. Furthermore, the operation will correspondingly reduce the market share of Covea Fleet from [20-30] % to [10-20] %.  </w:t>
        <w:br/>
        <w:t xml:space="preserve">19. Given these elements, the notified operation is not likely to harm competition in the French market for company vehicle fleet insurance.  </w:t>
        <w:br/>
        <w:t xml:space="preserve">B. THE MARKET FOR AUTOMOBILE ASSISTANCE  </w:t>
        <w:br/>
        <w:t xml:space="preserve">20. SMABTP and the Auxiliaire transfer, under a quota reinsurance treaty concluded with Fidelia Assurance, the assistance guarantees for the benefit of their clients. Fidelia Assistance implements all its resources on behalf of SMABTP and the Auxiliaire, under the general conditions of the products issued by SMABTP and the Auxiliaire.  </w:t>
        <w:br/>
        <w:t xml:space="preserve">21. The parties estimate that the automobile assistance market represents approximately €1.1 billion in France in 200910. The main competitors in this market are IMA ([20-30] %), Mondial Assistance ([10-20] %), Europ Assistance ([10-20] %), Fidelia Assistance ([10-20] %), AXA Assistance ([10-20] %), Mutuaide ([5-10] %), and Acta ([0-5] %).  </w:t>
        <w:br/>
        <w:t xml:space="preserve">22. The market share related to the assistance contracts transferred as part of the notified operation is approximately [0-5] %.  </w:t>
        <w:br/>
        <w:t xml:space="preserve">23. Given these elements, the notified operation is not likely to harm competition in the automobile assistance market in France.  </w:t>
        <w:br/>
        <w:t xml:space="preserve">C. THE MARKET FOR LEGAL PROTECTION  </w:t>
        <w:br/>
        <w:t xml:space="preserve">24. SMABTP and the Auxiliaire are not directly active in the legal protection market as they limit themselves to distributing "extended legal protection" contracts on behalf of DAS (MMA), as an ancillary service to the company vehicle fleet insurance contracts they offer.  </w:t>
        <w:br/>
        <w:t xml:space="preserve">25. The legal protection services that SGAM BTP will offer will thus represent a negligible part of the legal protection market. The transfer of the legal protection services included in the portfolio of transferred contracts to the affiliates of SGAM BTP will therefore have no tangible impact on the competitive situation in the legal protection market in France.  </w:t>
        <w:br/>
        <w:t xml:space="preserve">10 Id.  </w:t>
        <w:br/>
        <w:t>5</w:t>
      </w:r>
    </w:p>
    <w:p>
      <w:r>
        <w:t xml:space="preserve">DECIDES  </w:t>
        <w:br/>
        <w:t xml:space="preserve">Sole Article: The operation notified under number 11-0175 is authorized.  </w:t>
        <w:br/>
        <w:t xml:space="preserve">The Vice-President,  </w:t>
        <w:br/>
        <w:t xml:space="preserve">Françoise Aubert  </w:t>
        <w:br/>
        <w:t xml:space="preserve">Competition Authority  </w:t>
        <w:br/>
        <w:t>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