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https://www.autoritedelaconcurrence.fr/fr/decision-de-controle-des-concentrations/relative-la-prise-de-controle-exclusif-par-m-philippe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19-DCC-263 of December 26, 2019  </w:t>
        <w:br/>
        <w:t xml:space="preserve">regarding the exclusive control acquisition by Mr. Philippe Thouzeau of the  </w:t>
        <w:br/>
        <w:t xml:space="preserve">companies Fontenay Distribution, Saint-Clément, and Le Chemin des loups  </w:t>
        <w:br/>
        <w:t xml:space="preserve">The Competition Authority,  </w:t>
        <w:br/>
        <w:t xml:space="preserve">Having regard to the complete notification file sent to the mergers department  </w:t>
        <w:br/>
        <w:t xml:space="preserve">on November 29, 2019, concerning the exclusive control acquisition by Mr. Philippe Thouzeau of the  </w:t>
        <w:br/>
        <w:t xml:space="preserve">companies Fontenay Distribution, Saint-Clément, and Le Chemin des loups, materialized by a  </w:t>
        <w:br/>
        <w:t xml:space="preserve">share transfer promise dated July 31, 2019, and a substitution agreement dated  </w:t>
        <w:br/>
        <w:t xml:space="preserve">November 29, 2019;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elements transmitted during the investigation by the notifying party;  </w:t>
        <w:br/>
        <w:t xml:space="preserve">Adopts the following decision:  </w:t>
        <w:br/>
        <w:t xml:space="preserve">1. The notified operation consists of the exclusive control acquisition by Mr. Philippe Thouzeau of the  </w:t>
        <w:br/>
        <w:t xml:space="preserve">companies Fontenay Distribution, Saint-Clément, and Le Chemin des loups (hereinafter, "the target").  </w:t>
        <w:br/>
        <w:t xml:space="preserve">The target operates a predominantly food retail outlet of hypermarket type under the  </w:t>
        <w:br/>
        <w:t xml:space="preserve">brand "Hyper U" of 5,950 m², located in Fontenay-le-Comte (85). The operation constitutes  </w:t>
        <w:br/>
        <w:t xml:space="preserve">a concentration operation within the meaning of Article L. 430-1 of the Commercial Code. Given  </w:t>
        <w:br/>
        <w:t xml:space="preserve">the turnover generated by the companies concerned, the operation does not fall under the  </w:t>
        <w:br/>
        <w:t xml:space="preserve">competence of the European Union. On the other hand, the control thresholds related to retail  </w:t>
        <w:br/>
        <w:t xml:space="preserve">trade mentioned in point II of Article L. 430-2 of the Commercial Code are exceeded. The  </w:t>
        <w:br/>
        <w:t xml:space="preserve">present operation is therefore subject to the provisions of Articles L. 430-3 and following of the  </w:t>
        <w:br/>
        <w:t xml:space="preserve">Commercial Code relating to economic concentration.  </w:t>
        <w:br/>
        <w:t xml:space="preserve">2. In view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19-320 is authorized.  </w:t>
        <w:br/>
        <w:t xml:space="preserve">The Vice-President,  </w:t>
        <w:br/>
        <w:t xml:space="preserve">Emmanuel Combe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