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https://www.autoritedelaconcurrence.fr/fr/decision-de-controle-des-concentrations/relative-la-prise-de-controle-exclusif-par-mm-hadjez-de-10</w:t>
      </w:r>
    </w:p>
    <w:p>
      <w:r>
        <w:t>Pages translated : 6</w:t>
      </w:r>
    </w:p>
    <w:p/>
    <w:p>
      <w:r>
        <w:rPr>
          <w:b/>
        </w:rPr>
        <w:t>[Pages 1–3]</w:t>
      </w:r>
    </w:p>
    <w:p>
      <w:r>
        <w:t xml:space="preserve">FRENCH REPUBLIC  </w:t>
        <w:br/>
        <w:t xml:space="preserve">Decision No. 16-DCC-174 of November 15, 2016  </w:t>
        <w:br/>
        <w:t>regarding the exclusive control by Mr. [X] of 10 food-dominant retail stores</w:t>
      </w:r>
    </w:p>
    <w:p>
      <w:r>
        <w:t xml:space="preserve">The Competition Authority,  </w:t>
        <w:br/>
        <w:t xml:space="preserve">Having regard to the notification file submitted in full to the merger service on October 10, 2016, regarding the exclusive control by Mr. [X] Hadjez of 10 food-dominant retail stores, formalized by a preliminary agreement dated August 19, 2016;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Casino group, a French player in food-dominant distribution, manages a network of over 12,000 stores (hypermarkets, supermarkets, proximity stores, discount stores) under brands including Franprix, Géant Casino, Casino Supermarket, Petit Casino, Spar, Vival, Monoprix, and Leader Price. It is also present in the online distribution sector of non-food products under the brand Cdiscount. The Casino group is controlled by the company Euris, which is itself controlled by Mr. Jean-Charles Naouri.  </w:t>
        <w:br/>
        <w:t xml:space="preserve">2. Mr. [X] controls the family holding Jadasag Finance and sixteen companies: Holdimag, Maillodis, Cledis, Les 5 fermes, Villierdis, Sablondis, Unidistrib, Rivka, Celial, SDC, Murdis, Sodisnel, Paris Temple, Sodimar, Celideu, Ouest-Bazars, which operate food-dominant retail outlets under the brands Galeries Gourmandes, Les 5 Fermes, Simply Market (Auchan Group), Franprix, and Leader Price (Casino Group) located in Île-de-France.  </w:t>
        <w:br/>
        <w:t xml:space="preserve">3. The targets of the operation are 10 food-dominant retail stores operated under the Casino brand, with a surface area between 945 and 3,230 m² and located in Île-de-France. These 10 stores1 are, on the eve of the operation, exclusively controlled by the Casino group through its 100% subsidiary RedCo, created for the purposes of the operation.  </w:t>
        <w:br/>
        <w:t xml:space="preserve">4. Under the terms of the agreement concluded between Casino and Mr. [X] on August 19, 2016, the company TopCo, exclusively controlled by Mr. [X], will acquire 51% of the capital of the company RedCo, of which Casino will retain 49%. The President of RedCo will be appointed on the proposal of TopCo, which will also designate […] members out of […] on the supervisory board. The latter will adopt strategic decisions by a simple majority, particularly relating to the budget and the opening/sale/closure of stores. For its part, the Casino group will have a right to information and audit and an option to repurchase the shares held by TopCo. In the state of the parties' agreements, this option constitutes, for the Casino group, a right whose exercise is not constrained and conditioned on the occurrence of triggering events outside of Casino's control or exercisable, at the earliest, from […]. Under these conditions, the rights conferred to the Casino group are not of a nature to confer a decisive influence over RedCo.  </w:t>
        <w:br/>
        <w:t xml:space="preserve">5. Insofar as it results in the exclusive control of the 10 target stores by Mr. [X], the notified operation constitutes a concentration within the meaning of Article L. 430-1 of the Commercial Code.  </w:t>
        <w:br/>
        <w:t>6. The companies concerned operate several retail stores and together achieve a total worldwide turnover of over 75 million euros (Mr. [X]: […] euros of turnover for the fiscal year ending December 31, 2015; the target companies: […] euros for the same fiscal year). The companies concerned achieve in France in the retail sector a turnover exceeding 15 million euros (Mr. [X]: […] euros of turnover for the fiscal year ending December 31, 2015; the target companies: […] euros for the same fiscal year). Given the turnover achieved by the companies concerned,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7. According to the consistent practice of national2 and European3 competition authorities, two categories of markets can be delineated in the food-dominant distribution sector: on the one hand, downstream markets, of a local dimension, which bring together retail companies and consumers for the sale of consumer goods, and on the other hand, upstream supply markets where companies as buyers are in contact with product manufacturers, of a national dimension.</w:t>
      </w:r>
    </w:p>
    <w:p>
      <w:r>
        <w:t xml:space="preserve">A. UPSTREAM SUPPLY MARKETS  </w:t>
        <w:br/>
        <w:t xml:space="preserve">8. Regarding the supply markets, the European Commission has recognized the existence of markets with a national dimension by major product groups, a delineation followed by national authorities4.  </w:t>
        <w:br/>
        <w:t>9. There is no reason to challenge this delineation in the context of the present operation.</w:t>
      </w:r>
    </w:p>
    <w:p>
      <w:r>
        <w:t xml:space="preserve">B. DOWNSTREAM DISTRIBUTION MARKETS  </w:t>
        <w:br/>
        <w:t xml:space="preserve">1. SERVICE MARKETS  </w:t>
        <w:br/>
        <w:t xml:space="preserve">10. Concerning the retail sale of everyday consumer goods, competition authorities, both at the community and national levels, have distinguished six categories of trade using several criteria, notably the size of the stores, their sales techniques, their accessibility, the nature of the service provided, and the range of products offered: (i) hypermarkets (with a legal sales area exceeding 2,500 m²), (ii) supermarkets (food-dominant stores with a sales area of less than 2,500 m² and more than 400 m²), (iii) specialized trade, (iv) small retail business (less than 400 m²), (v) maxi discount stores, (vi) mail order sales.  </w:t>
        <w:br/>
        <w:t xml:space="preserve">11. Within small retail business5, small self-service stores that offer a narrow assortment of everyday products (with an area of less than 120 m²) and convenience stores whose product offering is somewhat broader (with an area between 120 and 400 m²) are distinguished.  </w:t>
        <w:br/>
        <w:t xml:space="preserve">12. Competition authorities consider that, while each category of store retains its specificity, there is asymmetric competition between certain of these categories. They thus distinguish:  </w:t>
        <w:br/>
        <w:t xml:space="preserve">- a market comprising only hypermarkets; and  </w:t>
        <w:br/>
        <w:t xml:space="preserve">- a market comprising supermarkets and equivalent forms of trade (hypermarkets, hard-discount, and popular stores) excluding small retail business (less than 400 m²).  </w:t>
        <w:br/>
        <w:t xml:space="preserve">13. Regarding small retail business, decision-making practice has also highlighted the existence of an asymmetric competitive relationship with other forms of trade. In certain geographical configurations, a hypermarket, a supermarket, or a hard-discount store of more than 400 m² may be habitually used by some consumers as a proximity store, substituting for a convenience store, while the reverse is not true. Thus, while hypermarkets and supermarkets exert strong competition on the  </w:t>
        <w:br/>
        <w:t xml:space="preserve">4 See notably the decisions of the minister in the sector, C.2005-98 Carrefour/ Penny Market of November 10, 2005, C.2006-15 Carrefour/ Groupe Hamon of April 14, 2006, C.2007-172 regarding the creation of the joint venture Plamidis of February 13, 2008, and C.2008-32 Carrefour/ SAGC of July 9, 2008; as well as the decisions of the Competition Authority No. 11-DCC-45 and 11-DCC-04 mentioned above.  </w:t>
        <w:br/>
        <w:t>5 See the opinion of the Competition Council No. 97-A-04 of January 21, 1997, regarding various issues concerning the concentration of distribution and the decision of the Competition Authority No. 10-D-08 of March 3, 2010, regarding practices implemented by Carrefour in the sector of general proximity food trade.</w:t>
      </w:r>
    </w:p>
    <w:p>
      <w:r>
        <w:rPr>
          <w:b/>
        </w:rPr>
        <w:t>[Pages 4–6]</w:t>
      </w:r>
    </w:p>
    <w:p>
      <w:r>
        <w:t xml:space="preserve">small retail business (less than 400 m²), the reverse is almost never true. Proximity stores therefore face competition from other proximity stores as well as from supermarkets, discount stores, and hypermarkets.  </w:t>
        <w:br/>
        <w:t xml:space="preserve">14. Given the reduced size of food stores in Paris, decision-making practice also considers that there is greater substitutability in Paris than in the provinces between small local businesses (with a total area of less than 400 m²) and nearby supermarkets and hypermarkets. In view of these characteristics, decision-making practice has adopted a specific approach by estimating that the relevant market in Paris thus includes all formats of generalist businesses: small retail businesses, supermarkets, popular stores, discount stores, and hypermarkets.  </w:t>
        <w:br/>
        <w:t xml:space="preserve">2. GEOGRAPHICAL MARKETS  </w:t>
        <w:br/>
        <w:t xml:space="preserve">15. Regarding hypermarkets, decision-making practice has specified that the conditions of competition are assessed in an area where consumer demand meets the supply of hypermarkets that they can access within less than 30 minutes of driving and which are, from their perspective, substitutable for each other.  </w:t>
        <w:br/>
        <w:t xml:space="preserve">16. However, the Authority noted that certain characteristics of large provincial cities and cities in the close suburbs of Paris (population density, traffic conditions) could justify considering smaller catchment areas for hypermarkets and supermarkets. It thus analyzed the effects of the operation both in areas corresponding to the decision-making practice applicable to the rest of the national territory and in more restricted areas, corresponding to a travel time of 20 minutes by car including hypermarkets around the target hypermarkets6.  </w:t>
        <w:br/>
        <w:t xml:space="preserve">17. Regarding supermarkets, it follows from decision-making practice7 that the conditions of competition are generally assessed in an area where consumer demand meets the supply of supermarkets and equivalent forms of trade located within less than 15 minutes of driving time.  </w:t>
        <w:br/>
        <w:t xml:space="preserve">18. However, as indicated above, decision-making practice analyzed areas corresponding to a 10-minute drive around supermarkets located in the close suburbs of Paris and areas corresponding to a 10 and 15-minute drive around supermarkets located in the outer suburbs or in large provincial cities8.  </w:t>
        <w:br/>
        <w:t xml:space="preserve">19. The question of the exact delineation of the relevant markets in large provincial cities and the cities in the close suburbs of Paris may be left open insofar as, regardless of the segmentation considered, the conclusions of the competitive analysis will remain unchanged.  </w:t>
        <w:br/>
        <w:t xml:space="preserve">20. There is no reason to challenge these delineations in the context of the present operation.  </w:t>
        <w:br/>
        <w:t xml:space="preserve">6 Decision No. 13-DCC-90 of July 11, 2013, paragraph 102.  </w:t>
        <w:br/>
        <w:t xml:space="preserve">7 See in particular the decisions of the Competition Authority No. 11-DCC-04 of January 28, 2011, regarding the exclusive control of the company Mafical by the company ITM Alimentaire Région parisienne; decision No. 11-DCC-05 of January 17, 2011, regarding the exclusive control of the company Distri Sud-Ouest by the company Retail Leader Price Investissement; decision No. 14-DCC-11 of January 28, 2014, regarding the control by the company Franprix Leader Price Holding of 47 retail stores primarily focused on food Le Mutant and 22 butcher shop businesses and decisions No. 12-DCC-63 and No. 14-DCC-173 mentioned above.  </w:t>
        <w:br/>
        <w:t xml:space="preserve">8 In particular, decision No. 14-DCC-173 of November 21, 2014, regarding the exclusive control of the company Dia France SAS by the company Carrefour France SAS.  </w:t>
        <w:br/>
        <w:t xml:space="preserve">21. In this case, the operation concerns: (i) a point of sale with a sales area greater than 2,500 m² located in the inner suburbs of Paris and (ii) nine points of sale with a sales area greater than or equal to 400 m² and less than 2,500 m² located in Île-de-France, four of which are in the inner suburbs of Paris.  </w:t>
        <w:br/>
        <w:t xml:space="preserve">III. Competitive Analysis  </w:t>
        <w:br/>
        <w:t xml:space="preserve">A. UPSTREAM SUPPLY MARKET  </w:t>
        <w:br/>
        <w:t xml:space="preserve">22. Regarding the upstream supply markets, it should be noted that the operation is limited to 10 stores already under the Casino group brand and already supplied by the Casino group. The acquisition is therefore not likely to significantly strengthen the purchasing power of the Casino group, across all products and by major product groups.  </w:t>
        <w:br/>
        <w:t xml:space="preserve">23. Consequently, the operation is not likely to harm competition in the upstream distribution market.  </w:t>
        <w:br/>
        <w:t xml:space="preserve">B. DOWNSTREAM DISTRIBUTION MARKET WITH FOOD DOMINANCE  </w:t>
        <w:br/>
        <w:t xml:space="preserve">24. Mr. [X] does not control or operate, on the eve of the operation, any store within nine of the ten catchment areas concerned by the operation. The operation therefore results in a unique overlap of activities in the catchment area of Nanterre (92) in which Mr. [X] will take exclusive control of a Casino hypermarket with a surface area of 3,230 m². In this area, Mr. [X] also controls, on the eve of the operation, a Franprix supermarket with a surface area of 440 m².  </w:t>
        <w:br/>
        <w:t xml:space="preserve">25. Following the operation, Mr. [X]'s market share will remain below [0-5]% in the Nanterre area, regardless of the geographical segmentation retained. In this area, they will face competition from numerous stores under the Carrefour, Auchan, Leclerc, Intermarché, and Système U brands.  </w:t>
        <w:br/>
        <w:t xml:space="preserve">26. In light of the above, the operation is not likely to harm competition.  </w:t>
        <w:br/>
        <w:t xml:space="preserve">DECIDES  </w:t>
        <w:br/>
        <w:t xml:space="preserve">Sole Article: The operation notified under number 16-189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