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https://www.autoritedelaconcurrence.fr/fr/decision-de-controle-des-concentrations/relative-la-prise-de-controle-exclusif-par-mm-hadjez-de-39</w:t>
      </w:r>
    </w:p>
    <w:p>
      <w:r>
        <w:t>Pages translated : 6</w:t>
      </w:r>
    </w:p>
    <w:p/>
    <w:p>
      <w:r>
        <w:rPr>
          <w:b/>
        </w:rPr>
        <w:t>[Pages 1–3]</w:t>
      </w:r>
    </w:p>
    <w:p>
      <w:r>
        <w:t xml:space="preserve">FRENCH REPUBLIC  </w:t>
        <w:br/>
        <w:t xml:space="preserve">Decision No. 16-DCC-04 of January 14, 2016  </w:t>
        <w:br/>
        <w:t xml:space="preserve">regarding the exclusive control by Messrs. [X] of 39 retail stores predominantly focused on food  </w:t>
        <w:br/>
        <w:t xml:space="preserve">The Competition Authority,  </w:t>
        <w:br/>
        <w:t xml:space="preserve">Having regard to the notification file sent to the merger service on November 27, 2015, and declared complete on January 4, 2016, regarding the exclusive control by Messrs. [X] of 39 retail stores predominantly focused on food, formalized by a principle agreement dated November 19, 2015;  </w:t>
        <w:br/>
        <w:t xml:space="preserve">Having regard to Book IV of the Commercial Code relating to price and competition freedom, and in particular its Articles L. 430-1 to L. 430-7;  </w:t>
        <w:br/>
        <w:t xml:space="preserve">Having regard to the additional elements submitted by the parties during the investigation;  </w:t>
        <w:br/>
        <w:t xml:space="preserve">Adopts the following decision:  </w:t>
        <w:br/>
        <w:t xml:space="preserve">I. The concerned companies and the operation  </w:t>
        <w:br/>
        <w:t xml:space="preserve">1. Messrs. [X] control the family holding Jadasag Finance and fifteen companies: Maillodis, Cledis, Les 5 fermes, Villierdis, Sablondis, Undistrib, Rivka, Celial, SDC, Murdis, Sodisnel, Paris Temple, Sodimar, Cedileu, Ouest-Bazars, which operate retail points of sale predominantly focused on food under the brands Galeries Gourmandes, Les 5 fermes, Simply Market (Auchan Group), Franprix, and Leader Price (Casino Group) located in Île-de-France.  </w:t>
        <w:br/>
        <w:t xml:space="preserve">2. The company Franprix Leader Price Holding (hereinafter "FPLPH") is a subsidiary of the Casino Guichard Perrachon group whose main purpose is to acquire stakes in companies operating stores under the Franprix and Leader Price brands. The Casino group, a French player in food-dominated distribution, manages a network of over 12,000 stores (hypermarkets, supermarkets, convenience stores, discount stores) under brands including Franprix, Géant Casino, Casino Supermarché, Petit Casino, Spar, Vival, Monoprix, and Leader Price. It is also present in the online distribution sector of non-food products with the brand Cdiscount. The Casino group is controlled by the company Euris, which is itself controlled by Mr. Jean-Charles Naouri.  </w:t>
        <w:br/>
        <w:t xml:space="preserve">3. The targets of the operation are 39 retail stores predominantly focused on food operated under the Franprix or Leader Price brands, with a surface area ranging from 280 to 1,300 m² and currently exclusively controlled by the Casino group. These stores are located in Perpignan (66), Castelnaudary and Limoux (11), Le Bourget and Le Raincy (93), Saint-Nom-la-Bretèche (78), Cannes (06), Villiers-sur-Marne (94), Nice, Grasse and Vallauris (06), Saint-Priest-en-Jarez, Saint-Etienne and Montrond-les-Bains (42), Pierrelatte (26), Marseille (13), Alès (30), Les Pennes Mirabeau (13), Grillon (84), Aubenas (07), Dagneux, Arbent and Bourg-en-Bresse (01), Nîmes (30), Saint-Genis-Laval, Saint-Foy-les-Lyon and Anse (69), Aoste (38), Ganges and Saint Jean de Vedas (34), Lognes (77), Montfavet (84), Arles (13), Chambéry (73), Salaise-sur-Sanne (38), Orange (84), Manosque (04), and Seynod (74).  </w:t>
        <w:br/>
        <w:t xml:space="preserve">4. Under the principle agreement concluded between FPLPH and Messrs. [X] on November 19, 2015, the company Holdimag will be created by the two groups no later than January 31, 2015, and will acquire exclusive control over the 39 target companies. Following the operation, Holdimag will be owned 51% by Messrs. [X], through their holding Jadasag Finance, and 49% by FPLPH. The President of Holdimag will be appointed on the proposal of Messrs. [X], who will designate […] members on […] the supervisory board. This board will adopt strategic decisions by a simple majority, notably regarding the budget and the opening/sale/closure of stores. For its part, the Casino group will have a right to information and audit and an option to buy back the shares held by Jadasag Finance in Holdimag1. Under the current agreements of the parties, this option constitutes, for the Casino group, a right whose exercise is not constrained and conditioned on the occurrence of triggering events outside the control of Casino or exercisable, at the earliest, from […]. Under these conditions, the rights conferred to the Casino group are not of a nature to confer it a decisive influence over Holdimag2.  </w:t>
        <w:br/>
        <w:t xml:space="preserve">5. As it results in the exclusive control of the 39 target stores by Messrs. [X] over FPLPH, the notified operation constitutes a concentration within the meaning of Article L. 430-1 of the Commercial Code.  </w:t>
        <w:br/>
        <w:t xml:space="preserve">6. The concerned companies operate several retail stores and together achieve a total worldwide turnover of over 75 million euros (Messrs. [X]: 73.4 million euros in turnover for the fiscal year ending December 31, 2014; targets: 139 million euros in turnover for the same fiscal year). The concerned companies achieve in France in the retail sector a turnover exceeding 15 million euros (Messrs. [X]: 73.4 million euros in turnover for the fiscal year ending December 31, 2014; targets: 139 million euros in turnover for the same fiscal year). Given the turnover achieved by the concerned companies,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  </w:t>
        <w:br/>
        <w:t xml:space="preserve">1 Sale promise granted by Jadasag Finance to FPLPH on the shares it holds in the company controlling Holdimag.  </w:t>
        <w:br/>
        <w:t>2 The guidelines of the Competition Authority regarding the control of concentrations specify that "To determine whether a minority shareholder has decisive influence, the Authority examines, first, the rights conferred to it and their modalities of exercise. It takes into account, for example (...) the possibility of increasing its capital later, either due to specific agreements, or by holding convertible securities, or the existence of purchase options; in themselves, such options cannot confer control over the period prior to their exercise, unless this option is exercised in the near future in accordance with legally binding agreements, but they can reinforce other indications of decisive influence" (§48).</w:t>
      </w:r>
    </w:p>
    <w:p>
      <w:r>
        <w:t xml:space="preserve">II. Delimitation of Relevant Markets  </w:t>
        <w:br/>
        <w:t xml:space="preserve">7. According to the consistent practice of national3 and European4 competition authorities, two categories of markets can be delineated in the food-dominated distribution sector: on the one hand, downstream markets, of local dimension, which bring together retail businesses and consumers for the sale of consumer goods, and on the other hand, upstream supply markets where businesses as buyers interact with product manufacturers, of national dimension.  </w:t>
        <w:br/>
        <w:t xml:space="preserve">A. UPSTREAM SUPPLY MARKETS  </w:t>
        <w:br/>
        <w:t xml:space="preserve">8. Concerning supply markets, the European Commission has recognized the existence of markets of national dimension by major product groups, a delineation followed by national authorities5.  </w:t>
        <w:br/>
        <w:t xml:space="preserve">9. There is no reason to challenge this delineation in the context of the present operation.  </w:t>
        <w:br/>
        <w:t xml:space="preserve">B. DOWNSTREAM DISTRIBUTION MARKETS  </w:t>
        <w:br/>
        <w:t xml:space="preserve">1. SERVICE MARKETS  </w:t>
        <w:br/>
        <w:t xml:space="preserve">10. Regarding the retail sale of everyday consumer goods, competition authorities, both community and national, have distinguished six categories of commerce using several criteria, notably store size, sales techniques, accessibility, the nature of the service provided, and the range of products offered: (i) hypermarkets (with a legal sales area exceeding 2,500 m²), (ii) supermarkets (food-dominated stores with a sales area of less than 2,500 m² and more than 400 m²), (iii) specialized commerce, (iv) small retail businesses (less than 400 m²), (v) maxi discount stores, (vi) mail order sales.  </w:t>
        <w:br/>
        <w:t xml:space="preserve">11. Within small retail businesses6, small self-service stores that offer a narrow assortment of everyday products (with a surface area of less than 120 m²) and convenience stores whose product offering is somewhat broader (with a surface area between 120 and 400 m²) are distinguished.  </w:t>
        <w:br/>
        <w:t xml:space="preserve">3 See notably the decision of the Competition Authority No. 12-DCC-48 of April 6, 2012, regarding the exclusive control of the company Sofides by the company ITM Entreprises, and decision No. 12-DCC-125 of August 27, 2012, regarding the joint control of 28 retail stores predominantly focused on food by the Union of Alsace Cooperators and the Association of E. Leclerc Distribution Centers. See also the decision of the Competition Authority No. 14-DCC-173.  </w:t>
        <w:br/>
        <w:t xml:space="preserve">4 See notably the decisions of the European Commission M. 1221, Rewe / Meinl of February 3, 1999, and M. 1684, Carrefour/ Promodès of January 25, 2000.  </w:t>
        <w:br/>
        <w:t xml:space="preserve">5 See notably the decisions of the minister in the sector, C.2005-98 Carrefour/ Penny Market of November 10, 2005, C.2006-15 Carrefour/ Groupe Hamon of April 14, 2006, C.2007-172 regarding the creation of the joint venture Plamidis of February 13, 2008, and C.2008-32 Carrefour/ SAGC of July 9, 2008; as well as the decisions of the Competition Authority No. 11-DCC-45 and 11-DCC-04 mentioned above.  </w:t>
        <w:br/>
        <w:t>6 See the opinion of the Competition Council No. 97-A-04 of January 21, 1997, regarding various issues concerning the concentration of distribution and the decision of the Competition Authority No. 10-D-08 of March 3, 2010, regarding practices implemented by Carrefour in the sector of proximity general food commerce.</w:t>
      </w:r>
    </w:p>
    <w:p>
      <w:r>
        <w:rPr>
          <w:b/>
        </w:rPr>
        <w:t>[Pages 4–6]</w:t>
      </w:r>
    </w:p>
    <w:p>
      <w:r>
        <w:t>12. Competition authorities consider that, while each category of store retains its specificity, there is asymmetric competition between some of these categories. They thus distinguish:</w:t>
        <w:br/>
        <w:t>- a market comprising only hypermarkets; and</w:t>
        <w:br/>
        <w:t>- a market comprising supermarkets and equivalent forms of commerce (hypermarkets, hard-discount stores, and popular stores) excluding small retail businesses (less than 400 m²).</w:t>
      </w:r>
    </w:p>
    <w:p>
      <w:r>
        <w:t>13. Regarding small retail businesses, decision-making practice has also highlighted the existence of an asymmetric competitive relationship with other forms of commerce. In certain geographical configurations, a hypermarket, a supermarket, or a hard-discount store of more than 400 m² can usually be used by some consumers as a convenience store, substituting for a small grocery store, whereas the reverse is not true. Thus, while hypermarkets and supermarkets exert strong competition on small retail businesses (less than 400 m²), the reverse is almost never verified. Convenience stores therefore face competition from other convenience stores as well as from supermarkets, discount stores, and hypermarkets.</w:t>
      </w:r>
    </w:p>
    <w:p>
      <w:r>
        <w:t>14. Given the small size of food stores in Paris, decision-making practice further considers that there is greater substitutability in Paris than in the provinces between small convenience stores (with a total area of less than 400 m²) and nearby supermarkets and hypermarkets. In light of these characteristics, decision-making practice has adopted a specific approach by determining that the relevant market in Paris thus includes all formats of generalist commerce: small retail businesses, supermarkets, popular stores, hard-discount stores, and hypermarkets.</w:t>
      </w:r>
    </w:p>
    <w:p>
      <w:r>
        <w:t>15. In this case, the proposed operation concerns 31 food-dominated stores with a sales area ranging from 400 m² to 2,500 m², and 8 food-dominated stores with a sales area of less than 400 m² (but greater than 120 m²), all located outside Paris.</w:t>
      </w:r>
    </w:p>
    <w:p>
      <w:r>
        <w:t>2. GEOGRAPHICAL MARKETS</w:t>
      </w:r>
    </w:p>
    <w:p>
      <w:r>
        <w:t>16. Regarding supermarkets, it emerges from decision-making practice7 that the conditions of competition are generally assessed in an area where consumer demand meets the supply of supermarkets and equivalent forms of commerce located within a 15-minute drive.</w:t>
      </w:r>
    </w:p>
    <w:p>
      <w:r>
        <w:t>17. However, decision-making practice has analyzed areas corresponding to a 10-minute drive around supermarkets located in the immediate suburbs of Paris and areas corresponding to a 10 and 15-minute drive around supermarkets located in the outer suburbs or in major provincial cities8.</w:t>
      </w:r>
    </w:p>
    <w:p>
      <w:r>
        <w:t>7 See in particular the decisions of the Competition Authority n°11-DCC-04 of January 28, 2011, regarding the exclusive control of the company Mafical by the company ITM Alimentaire Région parisienne; decision n°11-DCC-05 of January 17, 2011, regarding the exclusive control of the company Distri Sud-Ouest by the company Retail Leader Price Investissement; decision n°14-DCC-11 of January 28, 2014, regarding the control by the company Franprix Leader Price Holding of 47 food-dominated retail stores Le Mutant and 22 butcher shop businesses, and the decisions n°12-DCC-63 and n°14-DCC-173 mentioned above.</w:t>
      </w:r>
    </w:p>
    <w:p>
      <w:r>
        <w:t>8 In particular, decision 14-DCC-173 of November 21, 2014, regarding the exclusive control of the company Dia France SAS by the company Carrefour France SAS.</w:t>
      </w:r>
    </w:p>
    <w:p>
      <w:r>
        <w:t>18. Regarding small retail businesses, decision-making practice has specified that this category "is characterized by a clientele predominantly composed of people living less than 500 meters from the point of sale, walking to the sales location and making low-value purchases"9. In several recent decisions, the effects of concentration operations concerning points of sale with an area of less than 400 m² have been examined in catchment areas corresponding to a walking time of 10 minutes10.</w:t>
      </w:r>
    </w:p>
    <w:p>
      <w:r>
        <w:t>19. In this case, the operation concerns: (i) 29 points of sale with a sales area of 400 m² or more located in the provinces (excluding major cities) and in the outer suburbs; (ii) 2 points of sale with a sales area of 400 m² or more located in a major provincial city (Marseille); and (iii) 8 food-dominated points of sale with a sales area of less than 400 m² (but greater than 120 m²) located in the provinces and in Ile-de-France (excluding Paris).</w:t>
      </w:r>
    </w:p>
    <w:p>
      <w:r>
        <w:t>20. There is no need to challenge these delimitations in the context of the present operation.</w:t>
      </w:r>
    </w:p>
    <w:p>
      <w:r>
        <w:t>III. Competitive Analysis</w:t>
      </w:r>
    </w:p>
    <w:p>
      <w:r>
        <w:t>A. UPSTREAM SUPPLY MARKET</w:t>
      </w:r>
    </w:p>
    <w:p>
      <w:r>
        <w:t>21. Regarding upstream supply markets, it should be noted that the operation is limited to 39 stores already under the Casino group brand and already sourcing from the Casino group. The acquisition is therefore not likely to strengthen the purchasing power of the Casino group, across all products as well as by major product groups.</w:t>
      </w:r>
    </w:p>
    <w:p>
      <w:r>
        <w:t>22. Consequently, the operation is not likely to harm competition in the upstream distribution market.</w:t>
      </w:r>
    </w:p>
    <w:p>
      <w:r>
        <w:t>B. DOWNSTREAM FOOD-DOMINATED DISTRIBUTION MARKET</w:t>
      </w:r>
    </w:p>
    <w:p>
      <w:r>
        <w:t>23. The operation does not entail any overlap of activity outside of Villiers-sur-Marne (94) where a target store with a surface area of 280 m² is located and where Mr. [X] holds a food-dominated retail point of sale under the Simply Market brand (Auchan Group) with a surface area of 1,053 m².</w:t>
      </w:r>
    </w:p>
    <w:p>
      <w:r>
        <w:t>24. In the market comprising supermarkets and equivalent forms of commerce located within a 10-minute walking catchment area around the store located at 42 rue du Général de Gaulle in Villiers-sur-Marne (94), two points of sale are present in addition to the target Franprix, namely a store under the Simply Market brand owned by Mr. [X] and a point of sale operated under the G20 brand. However, three additional stores are located in the immediate vicinity of the zone boundary (less than 5 additional minutes walking), under the brands Lidl, Cocci (Francap), and 8 à Huit (Carrefour). Taking these stores into account, the parties will have a market share of [40-50]% ([10-20]% for the target store) and will face competition from Lidl ([30-40]%), Francap ([10-20]%), and Carrefour ([0-5]%), with competitors overall having a greater number of stores.</w:t>
      </w:r>
    </w:p>
    <w:p>
      <w:r>
        <w:t>25. Consequently, the operation is not likely to harm competition in the Villiers-sur-Marne (94) area.</w:t>
      </w:r>
    </w:p>
    <w:p>
      <w:r>
        <w:t>DECIDES</w:t>
      </w:r>
    </w:p>
    <w:p>
      <w:r>
        <w:t>Sole Article: The operation notified under number 15-226 is authorized.</w:t>
      </w:r>
    </w:p>
    <w:p>
      <w:r>
        <w:t>The Vice-President,</w:t>
        <w:br/>
        <w:t>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