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https://www.autoritedelaconcurrence.fr/fr/decision-de-controle-des-concentrations/relative-la-prise-de-controle-exclusif-par-mutex-du</w:t>
      </w:r>
    </w:p>
    <w:p>
      <w:r>
        <w:t>Pages translated : 4</w:t>
      </w:r>
    </w:p>
    <w:p/>
    <w:p>
      <w:r>
        <w:rPr>
          <w:b/>
        </w:rPr>
        <w:t>[Pages 1–3]</w:t>
      </w:r>
    </w:p>
    <w:p>
      <w:r>
        <w:t xml:space="preserve">FRENCH REPUBLIC  </w:t>
        <w:br/>
        <w:t xml:space="preserve">Decision No. 13-DCC-109 of August 14, 2013  </w:t>
        <w:br/>
        <w:t xml:space="preserve">regarding the exclusive control by Mutex of the portfolio of  </w:t>
        <w:br/>
        <w:t xml:space="preserve">the Union Nationale de Prévoyance de la Mutualité Française  </w:t>
        <w:br/>
        <w:t xml:space="preserve">The Competition Authority,  </w:t>
        <w:br/>
        <w:t xml:space="preserve">Having regard to the notification file submitted in full to the concentrations service on July 22, 2013, regarding the acquisition by Mutex SA of the portfolio of the Union Nationale de Prévoyance de la Mutualité Française, formalized by a portfolio transfer agreement signed between Mutex SA and the UNPMF on June 13, 2013, and approved by the general assemblies of Mutex SA on June 18, 2013, and of the UNPMF on June 19, 2013;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Mutex SA (hereinafter "Mutex") is a public limited company with a management board and a supervisory board governed by the Insurance Code. It was created in 2011 by five interprofessional mutual societies: Adréa which holds […]% of the capital, Apréva ([…]%), Eovi ([…]%), Harmonie Mutuelle ([…]%), Ociane ([…]%), and by the Union Nationale de Prévoyance de la Mutualité Française (UNPMF) ([…]%). None of them exercises exclusive or joint control over Mutex. The company develops a provident, savings, and retirement activity for the benefit of its shareholders and by forming partnerships with mutual societies that wish to do so. It exclusively markets personal insurance products and holds the necessary approvals to provide insurance benefits under branches 1 (accident), 2 (illness), 20 (life-death), 21 (marriage-birth), and 22 (insurance linked to investment funds)1.  </w:t>
        <w:br/>
        <w:t>1 See Article R. 321-1 of the Insurance Code.</w:t>
      </w:r>
    </w:p>
    <w:p>
      <w:r>
        <w:t xml:space="preserve">2. The Union Nationale de Prévoyance de la Mutualité Française ("UNPMF") is a union of mutual societies governed by Book II of the Code de la Mutualité. The union is composed of 117 mutual societies. The UNPMF is active in the field of risk coverage related to accidents (branch 1), illness (branch 2), life-death (branch 20), marriage-birth (branch 21), as well as insurance operations linked to investment funds (branch 22)2. By a vote of the general assembly on June 19, 2013, the UNPMF adopted the name Mutex Union and adopted new statutes.  </w:t>
        <w:br/>
        <w:t xml:space="preserve">3. In addition to the [...]% participation held by the UNPMF in Mutex already mentioned above, the UNPMF and Mutex have been linked since 2011 by a de facto grouping, within which Mutex ensures the administrative management of the UNPMF and applies the decisions made by the board of directors and the general assembly of the latter in the daily management of the union.  </w:t>
        <w:br/>
        <w:t xml:space="preserve">4. Under the portfolio transfer agreement signed between Mutex and the UNPMF on June 13, 2013, approved by the general assembly of Mutex on June 18, 2013, and by the general assembly of the UNPMF on June 19, 2013, the operation consists of the transfer by the UNPMF to Mutex of the entirety of its portfolio of collective health and provident insurance contracts.  </w:t>
        <w:br/>
        <w:t xml:space="preserve">5. The operation follows a previous portfolio transfer that occurred between the UNPMF and Mutex in December 2011, with retroactive effect from January 1, 2011.  </w:t>
        <w:br/>
        <w:t xml:space="preserve">6. Insofar as it results in the acquisition by Mutex of the portfolio of collective "supplementary health and provident insurance" contracts of the UNPMF, assets constituting an economic activity, the notified operation constitutes a concentration within the meaning of Article L. 430-1 of the Commercial Code.  </w:t>
        <w:br/>
        <w:t xml:space="preserve">7. The companies concerned together achieve a total turnover excluding taxes on a global scale of more than 150 million euros (Mutex: […] euros for the fiscal year ending December 31, 2012; transferred portfolio: […] euros for the same fiscal year). These turnover figures have been entirely realized in France, and the threshold of 50 million euros achieved individually by at least two of the concerned companies is also exceeded. In light of the above,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PRODUCT MARKETS  </w:t>
        <w:br/>
        <w:t xml:space="preserve">8. The national and European competition authorities distinguish between the markets for personal insurance, property insurance, and reinsurance3.  </w:t>
        <w:br/>
        <w:t xml:space="preserve">2 See Article R. 211-2 of the Code de la Mutualité.  </w:t>
        <w:br/>
        <w:t>3 See in particular the decision of the European Commission No. COMP/M.4284 Axa/Winterthur of August 28, 2006; the letter from the Minister of Economy, Finance and Industry C2007-49 of August 21, 2007, to the boards of the AG2R Prévoyance and the company.</w:t>
      </w:r>
    </w:p>
    <w:p>
      <w:r>
        <w:t xml:space="preserve">9. With regard to the first two categories of products, the competition authorities have estimated that they can be segmented into as many markets as there are insurances covering different types of risks, insofar as, from the demand perspective, insurances covering these different risks are not substitutable4.  </w:t>
        <w:br/>
        <w:t xml:space="preserve">10. Concerning the personal insurance market, in addition to segmentation based on different types of risk, an additional segmentation can be made between group insurance contracts, concluded between an insurer and a subscriber distinct from the beneficiary, and individual insurance contracts where the subscriber is also the beneficiary.  </w:t>
        <w:br/>
        <w:t xml:space="preserve">11. In the case at hand, the parties to the operation are simultaneously active in personal insurance and have identified the following segments on which their activities overlap:  </w:t>
        <w:br/>
        <w:t xml:space="preserve">- the market for supplementary health insurance, which aims to complement the benefits offered by mandatory health insurance schemes. The transferred portfolio only concerns group insurance contracts;  </w:t>
        <w:br/>
        <w:t xml:space="preserve">- the market for provident insurance, which includes insurance products intended to cover beneficiaries against loss of income in the event of accident, death, long illness, disability, incapacity, or loss of employment through the payment of compensation in the form of a capital sum or annuity. The risk covered is that of an unpredictable loss of income suffered by the beneficiary or their rights holders. The transferred portfolio only concerns group insurance contracts.  </w:t>
        <w:br/>
        <w:t xml:space="preserve">12. In any case, the exact definition of each of the markets examined in this decision may be left open, as the conclusions of the competitive analysis will remain unchanged regardless of the segmentations retained.  </w:t>
        <w:br/>
        <w:t xml:space="preserve">B. GEOGRAPHICAL MARKETS  </w:t>
        <w:br/>
        <w:t xml:space="preserve">13. Except for certain insurances covering large-scale risks, the decision-making practice considers that the insurance product markets have a national dimension given consumer preferences, the existence of national legislation and tax constraints, the current structure of these markets, or regulatory systems.  </w:t>
        <w:br/>
        <w:t>14. There is no need to challenge these delimitations in the context of the present operation.</w:t>
      </w:r>
    </w:p>
    <w:p>
      <w:r>
        <w:rPr>
          <w:b/>
        </w:rPr>
        <w:t>[Pages 4–4]</w:t>
      </w:r>
    </w:p>
    <w:p>
      <w:r>
        <w:t xml:space="preserve">III. Competitive Analysis  </w:t>
        <w:br/>
        <w:t xml:space="preserve">15. The market shares of the parties in the markets where their activities overlap are as follows:  </w:t>
        <w:br/>
        <w:t xml:space="preserve">Collective health insurance Collective provident insurance  </w:t>
        <w:br/>
        <w:t xml:space="preserve">Mutex [0-5] % [0-5] %  </w:t>
        <w:br/>
        <w:t xml:space="preserve">Transferred portfolio [0-5] % [0-5] %  </w:t>
        <w:br/>
        <w:t>New entity following the operation [0-5] % [0-5] %</w:t>
      </w:r>
    </w:p>
    <w:p>
      <w:r>
        <w:t>16. Following the operation, the new entity will therefore represent less than 3% of the collective health insurance market. It will continue to face competition from powerful operators such as Malakoff-Médéric ([10-20] % market share), Axa ([10-20] %), Harmonie Mutuelles ([5-10] %), Humanis ([5-10] %) or AG2R ([5-10] %).</w:t>
      </w:r>
    </w:p>
    <w:p>
      <w:r>
        <w:t>17. In the collective provident insurance market, the market share of Mutex post-operation will not exceed [0-5] %. It will also face competition from significant competitors such as Axa ([10-20] % market share), Malakoff-Médéric ([10-20] %), Groupama ([5-10] %), Allianz ([5-10] %) or AG2R ([5-10] %).</w:t>
      </w:r>
    </w:p>
    <w:p>
      <w:r>
        <w:t>18. It follows from these elements that the notified operation does not appear to be likely to harm competition in the relevant personal insurance markets.</w:t>
      </w:r>
    </w:p>
    <w:p>
      <w:r>
        <w:t xml:space="preserve">DECIDES  </w:t>
        <w:br/>
        <w:t xml:space="preserve">Sole Article: The operation notified under number 13-107 is authorized.  </w:t>
        <w:br/>
        <w:t xml:space="preserve">The President,  </w:t>
        <w:br/>
        <w:t xml:space="preserve">Bruno Lasserre  </w:t>
        <w:br/>
        <w:t xml:space="preserve">© Competition Authority  </w:t>
        <w:br/>
        <w:t>5 The market shares of the parties are expressed in contributions issued for the year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