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https://www.autoritedelaconcurrence.fr/fr/decision-de-controle-des-concentrations/relative-la-prise-de-controle-exclusif-par-my-car-group-de</w:t>
      </w:r>
    </w:p>
    <w:p>
      <w:r>
        <w:t>Pages translated : 4</w:t>
      </w:r>
    </w:p>
    <w:p/>
    <w:p>
      <w:r>
        <w:rPr>
          <w:b/>
        </w:rPr>
        <w:t>[Pages 1–3]</w:t>
      </w:r>
    </w:p>
    <w:p>
      <w:r>
        <w:t xml:space="preserve">FRENCH REPUBLIC  </w:t>
        <w:br/>
        <w:t xml:space="preserve">Decision No. 16-DCC-137 of August 22, 2016  </w:t>
        <w:br/>
        <w:t xml:space="preserve">regarding the exclusive control by By My Car Group of the  </w:t>
        <w:br/>
        <w:t>company Mercedes-Benz Côte d’Azur</w:t>
      </w:r>
    </w:p>
    <w:p>
      <w:r>
        <w:t xml:space="preserve">The Competition Authority,  </w:t>
        <w:br/>
        <w:t xml:space="preserve">Having regard to the notification file submitted in full to the merger service on July 18, 2016,  </w:t>
        <w:br/>
        <w:t xml:space="preserve">regarding the exclusive control by By My Car Group of the company Mercedes-Benz Côte d’Azur, formalized by a transfer protocol dated June 30,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By My Car Group is a company active in the sector of the sale of vehicles, new or used, the repair and maintenance of vehicles, and the sale of spare parts. It operates car dealerships for brands BMW, Mini, Volkswagen, Audi, Opel, Fiat, Ford, Peugeot, and Renault in several French departments.  </w:t>
        <w:br/>
        <w:t xml:space="preserve">2. The company Mercedes-Benz Côte d’Azur (hereinafter "MBCA") is a simplified joint-stock company with a sole partner. It is active in the sector of the sale of vehicles, new or used, the repair and maintenance of vehicles, and the sale of spare parts. MBCA operates four car dealerships for the brands Mercedes-Benz and Smart, located in the department of Alpes-Maritimes (06).  </w:t>
        <w:br/>
        <w:t xml:space="preserve">3. The notified operation, formalized by a transfer protocol dated June 30, 2016, consists of the acquisition by By My Car Group of 100% of the capital of MBCA. As it results in the exclusive control of MBCA by By My Car Group, the notified operation constitutes a concentration operation within the meaning of Article L. 430-1 of the Commercial Code.  </w:t>
        <w:br/>
        <w:t>4. The concerned companies together achieve a total worldwide turnover excluding taxes of more than 75 million euros (By My Car Group: [...] euros for the last fiscal year ending December 31, 2015; MBCA: [...] euros for the fiscal year ending December 31, 2015). The concerned companies achieve in France a total turnover excluding taxes exceeding 15 million euros in the retail sector (By My Car Group: [...] euros; the target companies: [...] euros). Given these turnovers, the operation does not fall under the jurisdiction of the European Union. However, the control thresholds mentioned in point II of Article L. 430-2 of the Commercial Code are exceeded. Therefore, the present operation is subject to the provisions of Articles L. 430-3 and following of the Commercial Code relating to economic concentration.</w:t>
      </w:r>
    </w:p>
    <w:p>
      <w:r>
        <w:t xml:space="preserve">II. Delimitation of Relevant Markets  </w:t>
        <w:br/>
        <w:t xml:space="preserve">A. PRODUCT AND SERVICE MARKETS  </w:t>
        <w:br/>
        <w:t xml:space="preserve">5. In the automotive distribution sector, the decision-making practice distinguishes (i) the distribution of new passenger cars intended for individual customers; (ii) the distribution of new passenger cars intended for professional customers; (iii) the distribution of commercial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7. In the present case, the parties are simultaneously active in the markets (i) for the distribution of new passenger cars intended for individual customers and (ii) for professionals, (iii) for the distribution of commercial vehicles, (iv) for the distribution of used vehicles, (v) for the distribution of spare parts and automotive accessories, and (vi) for the distribution of maintenance and repair services for motor vehicles.</w:t>
      </w:r>
    </w:p>
    <w:p>
      <w:r>
        <w:t xml:space="preserve">B. GEOGRAPHICAL MARKETS  </w:t>
        <w:br/>
        <w:t xml:space="preserve">8. Regarding the markets for the retail sale of new or used motor vehicles, spare parts and automotive accessories, and maintenance and repair services for motor vehicles, the decision-making practice adopts a local definition, generally at the departmental level.  </w:t>
        <w:br/>
        <w:t xml:space="preserve">9. The competitive analysis is supplemented by an examination of the operation in a territory formed by the departments neighboring the departments where the parties are simultaneously present, when one of the parties is also active there.  </w:t>
        <w:br/>
        <w:t>10. In the present case, the company MBCA is only present in the department of Alpes-Maritimes (06). By My Car Group does not conduct any activity in this department or in the neighboring departments.</w:t>
      </w:r>
    </w:p>
    <w:p>
      <w:r>
        <w:t xml:space="preserve">III. Competitive Analysis  </w:t>
        <w:br/>
        <w:t xml:space="preserve">11. The company MBCA is only present in the department of Alpes-Maritimes (06). Currently, the By My Car group is not active in this department or in the neighboring departments. Therefore, the operation does not result in any overlap of activities.  </w:t>
        <w:br/>
        <w:t>12. It follows from the preceding elements that the operation is not likely to harm competition in the relevant markets.</w:t>
      </w:r>
    </w:p>
    <w:p>
      <w:r>
        <w:rPr>
          <w:b/>
        </w:rPr>
        <w:t>[Pages 4–4]</w:t>
      </w:r>
    </w:p>
    <w:p>
      <w:r>
        <w:t xml:space="preserve">DECIDES  </w:t>
        <w:br/>
        <w:t xml:space="preserve">Sole Article: The operation notified under number 16-138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