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https://www.autoritedelaconcurrence.fr/fr/decision-de-controle-des-concentrations/relative-la-prise-de-controle-exclusif-par-primeo-energie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23-DCC-237 of November 28, 2023</w:t>
        <w:br/>
        <w:t>regarding the exclusive acquisition of control by Primeo Energie France</w:t>
        <w:br/>
        <w:t>of assets belonging to Solvay Energy Services</w:t>
        <w:br/>
        <w:t>The Competition Authority,</w:t>
        <w:br/>
        <w:t>Having regard to the complete notification file submitted to the mergers department on</w:t>
        <w:br/>
        <w:t>November 13, 2023, concerning the acquisition of control by Primeo Energie France of assets belonging</w:t>
        <w:br/>
        <w:t>to Solvay Energy Services, formalized by a unilateral purchase promise</w:t>
        <w:br/>
        <w:t>dated October 25,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acquisition of control by the company Primeo Energie</w:t>
        <w:br/>
        <w:t>France of assets related to an electricity aggregation activity belonging to Solvay</w:t>
        <w:br/>
        <w:t>Energy Services. It constitutes a concentration operation within the meaning of Article L. 430-1 of the</w:t>
        <w:br/>
        <w:t>Commercial Code. Given the turnover achieved by the concerned companies,</w:t>
        <w:br/>
        <w:t>the operation does not fall under the jurisdiction of the European Union. On the other hand, the control thresholds mentioned in I of Article L. 430-2 of the Commercial Code are exceeded. This</w:t>
        <w:br/>
        <w:t>operation is therefore subject to the provisions of Articles L. 430-3 and following of the Commercial Code</w:t>
        <w:br/>
        <w:t>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23-267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