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https://www.autoritedelaconcurrence.fr/fr/decision-de-controle-des-concentrations/relative-la-prise-de-controle-exclusif-par-swiss-life-ag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19-DCC-59 of April 12, 2019  </w:t>
        <w:br/>
        <w:t xml:space="preserve">regarding the exclusive control acquisition by Swiss Life AG of a  </w:t>
        <w:br/>
        <w:t xml:space="preserve">real estate asset portfolio from the company Terreïs  </w:t>
        <w:br/>
        <w:t xml:space="preserve">The Competition Authority,  </w:t>
        <w:br/>
        <w:t xml:space="preserve">Having regard to the complete notification file submitted to the mergers department on March 15, 2019,  </w:t>
        <w:br/>
        <w:t xml:space="preserve">concerning the exclusive control acquisition by Swiss Life AG of the real estate asset portfolio of  </w:t>
        <w:br/>
        <w:t xml:space="preserve">the company Terreïs, formalized by an agreement dated February 12,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Swiss Life AG of a real estate  </w:t>
        <w:br/>
        <w:t xml:space="preserve">asset portfolio from the company Terreïs. It constitutes a concentration within the meaning of Article  </w:t>
        <w:br/>
        <w:t xml:space="preserve">L. 430-1 of the Commercial Code. Given the turnover achieved by the companies involved, the operation  </w:t>
        <w:br/>
        <w:t xml:space="preserve">does not fall under the jurisdiction of the European Union. On the other hand, the control thresholds mentioned in I of Article L. 430-2 of the Commercial Code are exceeded.  </w:t>
        <w:br/>
        <w:t xml:space="preserve">This operation is therefore subject to the provisions of Articles L. 430-3 and following of the  </w:t>
        <w:br/>
        <w:t xml:space="preserve">Commercial Code relating to economic concentration.  </w:t>
        <w:br/>
        <w:t xml:space="preserve">2. The markets concerned by the operation are those of real estate services, consistently defined by the  </w:t>
        <w:br/>
        <w:t xml:space="preserve">decision-making practice of the competition authorities.  </w:t>
        <w:br/>
        <w:t xml:space="preserve">3. Regardless of the segmentations retained, the combined market shares of the parties are  </w:t>
        <w:br/>
        <w:t xml:space="preserve">below 25%.  </w:t>
        <w:br/>
        <w:t xml:space="preserve">4. Considering the elements of the file and in particular point 384 of the guidelines of  </w:t>
        <w:br/>
        <w:t xml:space="preserve">the Competition Authority relating to the control of concentrations, the operation is not likely to  </w:t>
        <w:br/>
        <w:t>harm competition.</w:t>
      </w:r>
    </w:p>
    <w:p>
      <w:r>
        <w:t xml:space="preserve">DECIDES  </w:t>
        <w:br/>
        <w:t xml:space="preserve">Sole Article: The operation notified under number 19-059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