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https://www.autoritedelaconcurrence.fr/fr/decision-de-controle-des-concentrations/relative-la-prise-de-controle-exclusive-de-groupe-sterenn</w:t>
      </w:r>
    </w:p>
    <w:p>
      <w:r>
        <w:t>Pages translated : 8</w:t>
      </w:r>
    </w:p>
    <w:p/>
    <w:p>
      <w:r>
        <w:rPr>
          <w:b/>
        </w:rPr>
        <w:t>[Pages 1–3]</w:t>
      </w:r>
    </w:p>
    <w:p>
      <w:r>
        <w:t xml:space="preserve">FRENCH REPUBLIC  </w:t>
        <w:br/>
        <w:t xml:space="preserve">Decision No. 15-DCC-23 of March 5, 2015  </w:t>
        <w:br/>
        <w:t xml:space="preserve">regarding the exclusive control of Groupe Sterenn  </w:t>
        <w:br/>
        <w:t xml:space="preserve">by the company Centradis (Promodis group)  </w:t>
        <w:br/>
        <w:t xml:space="preserve">The Competition Authority,  </w:t>
        <w:br/>
        <w:t xml:space="preserve">Having regard to the notification file sent to the concentrations service on January 9, 2015, declared complete on January 30, 2015, regarding the exclusive control of Groupe Sterenn by the company Centradis, formalized by a share acquisition agreement dated December 5,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Promodis is a cooperative company with […] cooperative members, of which […] are in France. Promodis is engaged in the wholesale sale of agricultural equipment (plows, trailers, seeders, etc.) to its members. The latter, often dealers of tractor manufacturers, are resellers of tractors and agricultural equipment to agricultural operators. Promodis and its members are linked by distribution contracts, which include provisions relating to the use of the Promodis brand, and by an internal regulation whose provisions are binding on the members.  </w:t>
        <w:br/>
        <w:t xml:space="preserve">2. […] members of Promodis hold directly or indirectly (via the holding company Hofice) […] % of the capital of Centradis, a public limited company primarily active in the wholesale sale of parts and consumables intended for distributors of agricultural equipment reselling the purchased products to agricultural operators. Centradis conducts its business directly, with an offer reserved for the members of Promodis, and via Agriest, its 100% subsidiary, which markets its products to operators who are not members of Promodis.  </w:t>
        <w:br/>
        <w:t xml:space="preserve">3. Despite the absence of direct participation of Promodis in Centradis, and the absence of a shareholder agreement between the members of Promodis controlling Hofice and Centradis, the elements in the file show that Promodis and Centradis constitute a single economic entity.  </w:t>
        <w:br/>
        <w:t xml:space="preserve">4. Indeed, Hofice is owned by members of Promodis. Of the […] French members of Promodis, […] are shareholders of Hofice (of which […] also directly hold shares in Centradis), and […] others hold directly shares in Centradis.  </w:t>
        <w:br/>
        <w:t xml:space="preserve">5. Furthermore, […] of the […] members of the board of directors of Promodis are also members of the boards of directors of Hofice and Centradis (which have […] members), including their president and the two vice-presidents of Centradis. Promodis and Centradis have the same general manager, while the president of Promodis is the vice-president of Centradis. Moreover, the […] directors of Promodis who are also members of the board of directors of Centradis control the latter, as decisions are adopted by a simple majority and they hold the majority within its board of directors.  </w:t>
        <w:br/>
        <w:t xml:space="preserve">6. In addition, the two entities share a significant part of their resources, including personnel, real estate, and their website. The headquarters of Promodis, Centradis, and Hofice thus share the same address.  </w:t>
        <w:br/>
        <w:t xml:space="preserve">7. [confidential].  </w:t>
        <w:br/>
        <w:t xml:space="preserve">8. Furthermore, all the resellers in the Promodis network sell parts and consumables for the agricultural sector and source from Centradis. The notifying party estimates that purchases made from Centradis generally represent less than […] % of the total parts purchases of the resellers, more than […] of their purchases being made from the tractor manufacturer of which they are the dealers. [confidential].  </w:t>
        <w:br/>
        <w:t xml:space="preserve">9. [confidential] In any case, the notifying party confirms that the purchase volumes of Promodis members from both it and Centradis are subject to common contractual provisions.  </w:t>
        <w:br/>
        <w:t xml:space="preserve">10. In light of these elements, Centradis and Promodis constitute a single entity. They will therefore be considered together hereinafter as constituting the Promodis group.  </w:t>
        <w:br/>
        <w:t xml:space="preserve">11. Groupe Sterenn (hereinafter "Sterenn") is the parent holding company of the Sterenn group, active in the wholesale marketing of parts and consumables through several wholly-owned subsidiaries: the company Fournial, dedicated to the agricultural sector, the companies PVP and MDS, dedicated to the gardening sector, the company FSI dedicated to the industrial sector, and the company Stelog which carries out the group's logistics activities.  </w:t>
        <w:br/>
        <w:t>12. The proposed operation, formalized by a share acquisition agreement dated December 5, 2014, consists of the acquisition of all the shares of the company Groupe Sterenn by the company Centradis. As it results in the exclusive control of the Sterenn group by the Promodis group, the notified operation constitutes a concentration within the meaning of Article L.430-1 of the Commercial Code.</w:t>
      </w:r>
    </w:p>
    <w:p>
      <w:r>
        <w:t xml:space="preserve">13. The companies concerned together achieve a total worldwide turnover excluding tax of more than 150 million euros (Promodis group: [...] euros for the fiscal year ending August 31, 2014; Sterenn group: [...] euros for the fiscal year ending December 31, 2013). Each of these companies achieved a turnover in France exceeding 50 million euros (Promodis group: [...] euros for the fiscal year ending December 31, 2014; Sterenn group: [...] euros for the fiscal year ending December 31, 2013).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14. The activities of the parties overlap in the sector of distribution of consumables and spare parts for the agricultural sector.  </w:t>
        <w:br/>
        <w:t xml:space="preserve">15. This sector involves several categories of upstream and downstream actors, namely: manufacturers of spare parts and accessories, intermediaries such as general wholesalers and specialist wholesalers, retail distributors, who are resellers specialized in trading for the agricultural sector (dealers of tractors or other agricultural machines, agricultural self-service stores, brands that are members of networks, independents), and end customers, who are primarily agricultural operators.  </w:t>
        <w:br/>
        <w:t>16. In this case, the Promodis and Sterenn groups are general wholesalers and therefore operate in the upstream markets of supply as buyers from manufacturers, and in the intermediate market of wholesale distribution that connects them with retail distributors as sellers.</w:t>
      </w:r>
    </w:p>
    <w:p>
      <w:r>
        <w:rPr>
          <w:b/>
        </w:rPr>
        <w:t>[Pages 4–6]</w:t>
      </w:r>
    </w:p>
    <w:p>
      <w:r>
        <w:t>A. UPSTREAM MARKETS FOR THE SUPPLY OF PARTS AND CONSUMABLES FOR THE AGRICULTURAL SECTOR</w:t>
      </w:r>
    </w:p>
    <w:p>
      <w:r>
        <w:t>1. PRODUCT MARKETS</w:t>
      </w:r>
    </w:p>
    <w:p>
      <w:r>
        <w:t>17. In the distribution of equipment intended for professionals, decision-making practice distinguishes as many markets as there are product families, insofar as producers manufacture specific products or groups of products and are technically unable to easily switch to manufacturing other products without significant costs, and where the structure of supply, pricing dynamics, or manufacturing constraints can vary significantly from one product family to another. However, decision-making practice has never addressed the markets for the supply of parts and consumables intended for the agricultural sector.</w:t>
      </w:r>
    </w:p>
    <w:p>
      <w:r>
        <w:t>18. The notifying party thus suggests segmenting the upstream markets according to the following product families, on which the parties are active: self-service consumables (fasteners, hardware, etc.); workshop equipment (various tools); protective clothing; lubricants; tires; parts for towing and trailers; batteries; parts for tractors; parts and consumables for breeders; soil working tools; sowing and spraying tools; grinding and haymaking tools; parts related to transmission; belts, chains, and bearings; parts related to hydraulics; parts and tools related to irrigation and green spaces.</w:t>
      </w:r>
    </w:p>
    <w:p>
      <w:r>
        <w:t>19. The operators surveyed in the market test largely confirmed the relevance of this segmentation.</w:t>
      </w:r>
    </w:p>
    <w:p>
      <w:r>
        <w:t>20. In any case, the exact delineation of the markets for the supply of parts and consumables intended for the agricultural sector can be left open, as the conclusions of the competitive analysis would remain unchanged regardless of the segmentations considered.</w:t>
      </w:r>
    </w:p>
    <w:p>
      <w:r>
        <w:t>2. GEOGRAPHICAL MARKETS</w:t>
      </w:r>
    </w:p>
    <w:p>
      <w:r>
        <w:t>21. The notifying party proposes to adopt a national delineation of the markets for the supply of parts and consumables intended for the agricultural sector. It indicates that while manufacturers are often companies active at the European level, the distribution markets differ from one country to another, and wholesalers generally purchase their products on a national basis, although some operators may conduct their purchasing strategy at the European level.</w:t>
      </w:r>
    </w:p>
    <w:p>
      <w:r>
        <w:t>22. The competitors surveyed in the market test indicated that contracts were negotiated at either a national or European level, depending on the case. However, most respondents confirmed the existence of specificities in the national supply markets.</w:t>
      </w:r>
    </w:p>
    <w:p>
      <w:r>
        <w:t>23. In any case, the geographical delineation of the markets can be left open, with the conclusions of the competitive analysis remaining unchanged regardless of the hypothesis considered. In this case, the effects of the operation on the upstream markets for supply will be analyzed at a national level, the least favorable hypothesis for the parties.</w:t>
      </w:r>
    </w:p>
    <w:p>
      <w:r>
        <w:t>B. INTERMEDIATE MARKETS FOR WHOLESALE DISTRIBUTION OF EQUIPMENT INTENDED FOR THE AGRICULTURAL SECTOR</w:t>
      </w:r>
    </w:p>
    <w:p>
      <w:r>
        <w:t>1. PRODUCT MARKETS</w:t>
      </w:r>
    </w:p>
    <w:p>
      <w:r>
        <w:t>24. At the wholesale market stage, the notifying party believes it is appropriate to distinguish between heavy agricultural equipment, consisting of agricultural machines (tractors, combine harvesters, etc.) and accompanying equipment (trailers, spreaders, presses, sprayers, etc.), and light equipment, consisting of spare parts and consumables (signal lights for tractors, engine oils) as well as various equipment tools (protective clothing, workshop tools). The operators surveyed in the market test widely confirmed the necessity of distinguishing the distribution of heavy equipment from the distribution of light equipment. In this case, Centradis and Sterenn are simultaneously present in the markets for the distribution of light equipment, while Promodis is present in the market for the distribution of heavy equipment.</w:t>
      </w:r>
    </w:p>
    <w:p>
      <w:r>
        <w:t>25. Regarding light equipment, the notifying party argues that there is no need to distinguish between the different parts and consumables sold by wholesalers, as wholesale sales target reseller clients wishing for a wide range of products. Clients in the wholesale market seek, according to the notifying party, the possibility of procuring a variety of products from several brands from the wholesaler, with the logistical and economic advantage resulting from the consolidation of orders for different products. The majority of respondents to the market test confirmed the relevance of this approach.</w:t>
      </w:r>
    </w:p>
    <w:p>
      <w:r>
        <w:t>26. The notifying party also considers that there is no need to segment the relevant markets at the intermediate stage according to the typology of suppliers, as the demand from resellers addresses manufacturers, general wholesalers, and specialized wholesalers. However, while the responses to the market test confirm that these three categories of actors exert competitive pressure on each other, they also highlight that different suppliers are not perfectly substitutable. The surveyed actors indicated that the pressure exerted by manufacturers did not apply to the entire range of products marketed by general wholesalers, as retail distributors exclusively address manufacturers to source certain types of parts (particularly original parts). The breadth of the range offered by general wholesalers distinguishes their offer from that of manufacturers, who are generally specialized in one product or type of product, and from specialized wholesalers whose range of offered products is deeper but narrower. Furthermore, in addition to the logistical advantages associated with dealing with a wholesaler, respondents indicated that the offer from manufacturers and specialized wholesalers differed from that of general wholesalers in terms of the quality of advice and accompanying services.</w:t>
      </w:r>
    </w:p>
    <w:p>
      <w:r>
        <w:t>27. In any case, the delineation of the markets can be left open, with the conclusions of the competitive analysis remaining unchanged regardless of the hypothesis retained. In this case, the analysis will be conducted on a market limited to the offer of general wholesalers but, in accordance with the decision-making practice approach in other sectors of wholesale distribution, will take into account the competitive pressure exerted by other actors.</w:t>
      </w:r>
    </w:p>
    <w:p>
      <w:r>
        <w:t>2. GEOGRAPHICAL MARKETS</w:t>
      </w:r>
    </w:p>
    <w:p>
      <w:r>
        <w:t>28. The notifying party considers that the markets for the wholesale sale of parts and consumables intended for the agricultural sector are of national dimension, with the parties and their competitors covering the entire territory in a relatively homogeneous manner.</w:t>
      </w:r>
    </w:p>
    <w:p>
      <w:r>
        <w:t>29. The competitors surveyed in the market test confirmed that their clients were present throughout the territory, where they could respond to any demand. However, some indicated that the markets could be of supranational dimension, due to the increasing internationalization of certain actors.</w:t>
      </w:r>
    </w:p>
    <w:p>
      <w:r>
        <w:t>30. The question of the geographical delineation of the markets for the distribution of parts and consumables intended for the agricultural sector can be left open, with the competitive analysis remaining unchanged regardless of the hypothesis considered. It will, in this case, be conducted at a national level, the least favorable hypothesis for the parties.</w:t>
      </w:r>
    </w:p>
    <w:p>
      <w:r>
        <w:t>III. Competitive Analysis</w:t>
      </w:r>
    </w:p>
    <w:p>
      <w:r>
        <w:t>A. UPSTREAM MARKETS FOR THE SUPPLY OF PARTS AND CONSUMABLES FOR THE AGRICULTURAL SECTOR</w:t>
      </w:r>
    </w:p>
    <w:p>
      <w:r>
        <w:t>31. In the upstream supply markets, the parties estimated that their market shares would be below 10% regardless of the product family considered, with the exception of batteries and soil working tools for which their market share would remain below 20%.</w:t>
      </w:r>
    </w:p>
    <w:p>
      <w:r>
        <w:t>32. Consequently, the operation is not likely to harm competition in the markets for the supply of parts and consumables intended for the agricultural sector.</w:t>
      </w:r>
    </w:p>
    <w:p>
      <w:r>
        <w:t>B. INTERMEDIATE MARKETS FOR WHOLESALE SALE OF EQUIPMENT INTENDED FOR THE AGRICULTURAL SECTOR</w:t>
      </w:r>
    </w:p>
    <w:p>
      <w:r>
        <w:t>1. HORIZONTAL EFFECTS</w:t>
      </w:r>
    </w:p>
    <w:p>
      <w:r>
        <w:t>33. In a wholesale market for parts and consumables intended for the agricultural sector, encompassing the sales of all spare parts and consumables intended for the agricultural sector by general wholesalers, the notifying party estimates that the new entity would hold a market share of [20-30]% in value, with the operation resulting in an increment of market share of [5-10]%. In this market, the new entity will continue to face competition from other general wholesalers (Scar (10-15%), Kramp (10-15%), Bepco (5-10%), Granit Part (5-10%), Sparex (&lt;5%) and Bonnet (&lt;5%)), among which are major European players (notably Kramp, Fricke/Granit Part, and TVH/Bepco).</w:t>
      </w:r>
    </w:p>
    <w:p>
      <w:r>
        <w:rPr>
          <w:b/>
        </w:rPr>
        <w:t>[Pages 7–8]</w:t>
      </w:r>
    </w:p>
    <w:p>
      <w:r>
        <w:t>34. The new entity will also face competitive pressure from specialist wholesalers and manufacturers, the latter reserving the marketing of certain original parts through their dealer network. In a market including all these players, the new entity would represent only [5-10]% of the market, with the operation resulting in a market share increment of [0-5]%.</w:t>
      </w:r>
    </w:p>
    <w:p>
      <w:r>
        <w:t>35. Consequently, the operation is not likely to harm competition through horizontal effects in the intermediate markets for the wholesale sale of parts and consumables intended for the agricultural sector.</w:t>
      </w:r>
    </w:p>
    <w:p>
      <w:r>
        <w:t>2. CONGLOMERATE EFFECTS</w:t>
      </w:r>
    </w:p>
    <w:p>
      <w:r>
        <w:t>36. A concentration is likely to lead to conglomerate effects when the new entity extends or strengthens its presence in markets that are connected to other markets where it holds market power. The guidelines of the Competition Authority indicate, however, that it is unlikely for a concentration to pose a risk of conglomerate effect if the new entity does not have a strong position in a market from which it can leverage an effect and refer, in this regard, to a threshold of 30% market share.</w:t>
      </w:r>
    </w:p>
    <w:p>
      <w:r>
        <w:t>37. In this case, Centradis strengthens its position in the wholesale market for light equipment intended for the agricultural sector, which has connections to the wholesale markets for heavier agricultural equipment, where Promodis is active.</w:t>
      </w:r>
    </w:p>
    <w:p>
      <w:r>
        <w:t>38. However, since the market shares of Centradis, Sterenn, and Promodis are limited in their respective markets, no leveraging effect is conceivable. Indeed, while the new entity will represent less than 30% of the wholesale market for light equipment intended for the agricultural sector, Promodis estimates its market share in the French wholesale market for heavier agricultural equipment at [0-5]%.</w:t>
      </w:r>
    </w:p>
    <w:p>
      <w:r>
        <w:t>39. It should also be noted that the products sold by Centradis, Sterenn, and Promodis are not purchased with the same frequency by users, making bundled sales unlikely. Indeed, while agricultural machines are expensive tools representing a rare investment for farmers, parts and consumables are relatively inexpensive commodities purchased on a recurring basis. Furthermore, the parts and consumables sold by Centradis and Sterenn are not closely related to the agricultural equipment marketed by Promodis, as evidenced by the fact that Promodis and Centradis have only […] common suppliers, whereas general wholesalers source from an average of 300 to 800 manufacturers depending on the extent of their range.</w:t>
      </w:r>
    </w:p>
    <w:p>
      <w:r>
        <w:t>40. The operation is therefore not likely to harm competition through conglomerate effects.</w:t>
      </w:r>
    </w:p>
    <w:p>
      <w:r>
        <w:t>DECIDES</w:t>
      </w:r>
    </w:p>
    <w:p>
      <w:r>
        <w:t>Sole Article: The operation notified under number 14-224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