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https://www.autoritedelaconcurrence.fr/fr/decision-de-controle-des-concentrations/relative-la-prise-de-controle-exclusive-de-la-societe-0</w:t>
      </w:r>
    </w:p>
    <w:p>
      <w:r>
        <w:t>Pages translated : 18</w:t>
      </w:r>
    </w:p>
    <w:p/>
    <w:p>
      <w:r>
        <w:rPr>
          <w:b/>
        </w:rPr>
        <w:t>[Pages 1–3]</w:t>
      </w:r>
    </w:p>
    <w:p>
      <w:r>
        <w:t xml:space="preserve">FRENCH REPUBLIC  </w:t>
        <w:br/>
        <w:t xml:space="preserve">Decision No. 13-DCC-112 of August 19, 2013  </w:t>
        <w:br/>
        <w:t xml:space="preserve">regarding the exclusive control of the company Hypercoop by  </w:t>
        <w:br/>
        <w:t xml:space="preserve">the Association of E.Leclerc Distributor Centers  </w:t>
        <w:br/>
        <w:t xml:space="preserve">The Competition Authority,  </w:t>
        <w:br/>
        <w:t xml:space="preserve">Having regard to the notification file submitted in full to the concentrations service on July 18, 2013,  </w:t>
        <w:br/>
        <w:t xml:space="preserve">regarding the exclusive control of the company Hypercoop by the Association of E.Leclerc Distributor Centers, formalized by the firm and irrevocable offer sent on July 4, 2013,  </w:t>
        <w:br/>
        <w:t xml:space="preserve">by Val Expansion to the Union of Cooperators of Alsace and by the draft protocol agreement  </w:t>
        <w:br/>
        <w:t xml:space="preserve">that the Union of Cooperators of Alsace, Val Expansion, and the Cooperative Supply Company of Alsace intend to sign;  </w:t>
        <w:br/>
        <w:t xml:space="preserve">Having regard to Book IV of the Commercial Code relating to price and competition freedom,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A. THE COMPANIES CONCERNED  </w:t>
        <w:br/>
        <w:t xml:space="preserve">1. HYPERCOOP  </w:t>
        <w:br/>
        <w:t xml:space="preserve">1. Hypercoop is a company active in the food distribution sector  </w:t>
        <w:br/>
        <w:t xml:space="preserve">thanks to the ownership of a network of stores consisting of 6 hypermarkets1 and 22 supermarkets2  </w:t>
        <w:br/>
        <w:t xml:space="preserve">located in Alsace and Moselle, operated under the Leclerc brand since 2009 and supplied  </w:t>
        <w:br/>
        <w:t xml:space="preserve">by the Cooperative Supply Company of Alsace (hereinafter, "ScapAlsace"), the  </w:t>
        <w:br/>
        <w:t xml:space="preserve">1 These hypermarkets are located in Marmoutier, Soufflenheim, Schiltigheim, Obernai, Geispolsheim, and Wintzenheim.  </w:t>
        <w:br/>
        <w:t xml:space="preserve">2 These supermarkets are located in Strasbourg (Koenigshoffen, faubourg national, Elsau, Neuhof), Illkirch, Phalsbourg, Rixheim, Hilsenheim,  </w:t>
        <w:br/>
        <w:t xml:space="preserve">Holtzheim, Reichstett, Hochfelden, Soultz, Masevaux, Duttlenheim, Haguenau, Gries, Bischwiller, Herrlisheim, Drusenheim, Roeschwoog,  </w:t>
        <w:br/>
        <w:t>Ingwiller, and Lemberg.</w:t>
      </w:r>
    </w:p>
    <w:p>
      <w:r>
        <w:t xml:space="preserve">regional purchasing center for stores under the E.Leclerc brand3. Hypercoop is jointly controlled  </w:t>
        <w:br/>
        <w:t xml:space="preserve">by the Union of Cooperators of Alsace, which holds 49.99% of Hypercoop's capital,  </w:t>
        <w:br/>
        <w:t xml:space="preserve">and by ACDLec, via Val Expansion and Valcom, which holds  </w:t>
        <w:br/>
        <w:t xml:space="preserve">50.01% of Hypercoop's capital.  </w:t>
        <w:br/>
        <w:t xml:space="preserve">2. VAL EXPANSION AND THE LECLERC MOVEMENT  </w:t>
        <w:br/>
        <w:t xml:space="preserve">a) The entities concerned  </w:t>
        <w:br/>
        <w:t xml:space="preserve">2. On the acquirer's side, the operation concerns three entities, namely Val Expansion, ScapAlsace,  </w:t>
        <w:br/>
        <w:t xml:space="preserve">and the Association of E.Leclerc Distributor Centers.  </w:t>
        <w:br/>
        <w:t xml:space="preserve">3. Val Expansion is a simplified joint-stock company created by operators of stores  </w:t>
        <w:br/>
        <w:t xml:space="preserve">bearing the Leclerc brand, members of ScapAlsace. The capital of Val Expansion  </w:t>
        <w:br/>
        <w:t xml:space="preserve">is held by 50 operating companies4 of retail stores, of which 47 are  </w:t>
        <w:br/>
        <w:t xml:space="preserve">engaged in operating stores under the Leclerc brand in Alsace and Moselle (57),  </w:t>
        <w:br/>
        <w:t xml:space="preserve">as well as by ScapAlsace, which holds 0.5% of its capital. None of these shareholders  </w:t>
        <w:br/>
        <w:t xml:space="preserve">holds more than 6% of the total capital of Val Expansion individually. Furthermore, Val Expansion  </w:t>
        <w:br/>
        <w:t xml:space="preserve">controls the company Sodeldis, which is engaged in prospecting for potential investments  </w:t>
        <w:br/>
        <w:t xml:space="preserve">by Val Expansion, as well as real estate civil companies. It also holds 100% of the capital of Valcom and Valimmo, which are aimed at acquiring and managing  </w:t>
        <w:br/>
        <w:t xml:space="preserve">interests in the capital of companies.  </w:t>
        <w:br/>
        <w:t xml:space="preserve">4. Val Expansion's activity is the management of equity securities as well as economic  </w:t>
        <w:br/>
        <w:t xml:space="preserve">and financial assistance for the members of the Leclerc movement who are cooperative partners of  </w:t>
        <w:br/>
        <w:t xml:space="preserve">ScapAlsace, notably through the provision of guarantees or by temporarily holding  </w:t>
        <w:br/>
        <w:t xml:space="preserve">points of sale.  </w:t>
        <w:br/>
        <w:t xml:space="preserve">5. The Cooperative Supply Company of Alsace (hereinafter "ScapAlsace") is a  </w:t>
        <w:br/>
        <w:t xml:space="preserve">cooperative of retail merchants that serves as the regional purchasing center of  </w:t>
        <w:br/>
        <w:t xml:space="preserve">the Leclerc movement for eastern France. Its capital is distributed among 59 cooperative partners,  </w:t>
        <w:br/>
        <w:t xml:space="preserve">who are retail store operating companies. Among these 59 partners, there are 47 shareholders of Val Expansion5,  </w:t>
        <w:br/>
        <w:t xml:space="preserve">39 of whom currently operate a retail store primarily focused on food under the Leclerc brand.  </w:t>
        <w:br/>
        <w:t xml:space="preserve">ScapAlsace's main activity is to supply its partners with goods, equipment, or services necessary for their activity.  </w:t>
        <w:br/>
        <w:t xml:space="preserve">6. The Association of E.Leclerc Distributor Centers (hereinafter, "ACDLec" or the "Leclerc association") is the strategic body of the Leclerc movement6,  </w:t>
        <w:br/>
        <w:t xml:space="preserve">to which all individuals who manage the operating companies of Leclerc stores are members. ACDLec  </w:t>
        <w:br/>
        <w:t xml:space="preserve">determines the conditions for approval to the Leclerc movement and signs the brand contracts  </w:t>
        <w:br/>
        <w:t xml:space="preserve">that must be held by the operators of E.Leclerc retail stores.  </w:t>
        <w:br/>
        <w:t xml:space="preserve">b) The control of the entities concerned  </w:t>
        <w:br/>
        <w:t xml:space="preserve">3 The entirety constituted by the members, their stores, and the structures at the head of the Leclerc network is referred to by the latter as the  </w:t>
        <w:br/>
        <w:t xml:space="preserve">"Leclerc movement."  </w:t>
        <w:br/>
        <w:t xml:space="preserve">4 Among these, 39 effectively operate a retail store.  </w:t>
        <w:br/>
        <w:t xml:space="preserve">5 Only three shareholders of Val Expansion are not members of ScapAlsace, namely the companies Albardis and Coixdis-LG and Diedis-LG,  </w:t>
        <w:br/>
        <w:t xml:space="preserve">whose presidents are also presidents of another associated operating company of ScapAlsace, and are members of ACDLec.  </w:t>
        <w:br/>
        <w:t xml:space="preserve">6 http://www.mouvement-leclerc.com/page/l-independance-au-coeur-du-mouvement.  </w:t>
        <w:br/>
        <w:t>2</w:t>
      </w:r>
    </w:p>
    <w:p>
      <w:r>
        <w:t xml:space="preserve">7. After recalling the applicable principles (i) and describing the organization of the Leclerc movement (ii), it will be appropriate to set out the factors granting ACDLec the joint control of the shareholders of Val Expansion (iii) and thereby, the control of Val Expansion itself (iv).  </w:t>
        <w:br/>
        <w:t xml:space="preserve">(i) Recollection of the applicable principles  </w:t>
        <w:br/>
        <w:t xml:space="preserve">8. Article L. 430-1 of the Commercial Code provides that a concentration operation is carried out notably "when one or more persons, already holding control of at least one enterprise, or when one or more enterprises acquire, directly or indirectly, (...), control of all or parts of one or more other enterprises." "Control" in the sense of these provisions results from "rights, contracts, or other means that confer, alone or jointly and considering the factual or legal circumstances, the possibility of exercising a decisive influence on the activity of an enterprise."  </w:t>
        <w:br/>
        <w:t xml:space="preserve">9. It follows that an enterprise is "controlled" by another as soon as the controlling enterprise can exercise a decisive influence on the activity of the controlled enterprise. This possibility must be real, but it is nevertheless not necessary to demonstrate that the decisive influence is or will be effectively exercised7. In a ruling of January 31, 2007, the Council of State8 recognized the joint control of BFCM over EBRA, based on a set of indicators, even though no decisive influence could actually be exercised, as EBRA had been established for the needs of the concentration operation in question.  </w:t>
        <w:br/>
        <w:t xml:space="preserve">10. The Authority assesses the decisive influence and, therefore, the exercise of "control" in the sense of these provisions, based on several criteria. The case law also recalls that the possibility of exercising a decisive influence can be established based on various elements, both legal and factual9. Generally, it is the rights conferred to a shareholder, whether majority or minority, that determine their exercise of control over an enterprise, but other elements can also be taken into account. In particular, contractual or financial relationships can establish the existence of de facto control10. In certain circumstances, a company may even have decisive influence without holding any capital stake11. All of these criteria are assessed by the Authority according to the technique of a set of indicators, even if each of these indicators taken in isolation would not be sufficient on its own to confer decisive influence12.  </w:t>
        <w:br/>
        <w:t xml:space="preserve">7 Guidelines of the Competition Authority regarding the control of concentrations, published on July 10, 2013, §29.  </w:t>
        <w:br/>
        <w:t xml:space="preserve">8 Ruling of the Council of State of January 31, 2007, France Antilles.  </w:t>
        <w:br/>
        <w:t xml:space="preserve">9 For example, in its ruling of January 31, 2007, France Antilles, the Council of State found the existence of a set of indicators to characterize the possibility that BFCM had to exercise a decisive influence and thus joint control over EBRA. The indicators considered were as follows: (i) statutory provisions of EBRA allowing BFCM to propose the appointment of two members of EBRA's management committee and to have a veto right concerning the five members of the management committee, (ii) a lending situation of BFCM towards EBRA providing BFCM with decisive influence over EBRA's strategic decisions, especially since EBRA's statutes provide for the possibility for BFCM to oppose any increase in EBRA's equity.  </w:t>
        <w:br/>
        <w:t xml:space="preserve">10 See in particular opinion No. 91-A-09 of October 15, 1991, regarding a concentration operation involving Gillette Company and Eemland Management Services. In this opinion, the competition council considered that Gillette Company exercised a decisive influence over Eemland Management Services, which became Eemland Holdings NV, even though Gillette only held convertible bonds and these bonds did not grant it voting rights at the board of directors of Eemland Holdings NV, nor the right to be represented on that board, nor the right to attend the general meeting of shareholders, nor the right to information about this company.  </w:t>
        <w:br/>
        <w:t xml:space="preserve">11 Guidelines of the Competition Authority regarding the control of concentrations, §44.  </w:t>
        <w:br/>
        <w:t xml:space="preserve">12 Guidelines of the Competition Authority regarding the control of concentrations, §45.  </w:t>
        <w:br/>
        <w:t>3</w:t>
      </w:r>
    </w:p>
    <w:p>
      <w:r>
        <w:rPr>
          <w:b/>
        </w:rPr>
        <w:t>[Pages 4–6]</w:t>
      </w:r>
    </w:p>
    <w:p>
      <w:r>
        <w:t>11. In the field of distribution, regarding the characterization of the control of a network head over the members of said network, the Authority examines all elements of law (notably the provisions of statutory documents or contracts) or of fact, which allow the network head to limit the autonomy of the member, both in conducting its commercial policy (for example, through contractual mechanisms that transfer all or part of the commercial risk of the member to the network head) and in the possibilities of changing networks, and determines whether they are sufficient to confer to the "network head" a decisive influence over the business of its "member"13.</w:t>
      </w:r>
    </w:p>
    <w:p>
      <w:r>
        <w:t>12. The Authority particularly assesses, in the relationships between a network head and a retail business, to what extent certain provisions of the statutes of the latter are likely to confer to the network head a decisive influence over the member (franchisee or concessionaire). For example, if the statutes specify the brand under which the member must conduct its activity, and can only be modified with the agreement of the head of the distribution network, they allow the latter to prevent the member from leaving the network. The Authority then considers that the provisions of the statutes, combined with a distribution contract and possibly a minority participation, confer to the network head a decisive influence14. The same applies when the statutes set a very long duration during which the member cannot leave the network, or effectively prevent the member from leaving the network for a very long duration15.</w:t>
      </w:r>
    </w:p>
    <w:p>
      <w:r>
        <w:t>13. In the case at hand, the assessment of the control of the entities involved in the operation therefore requires examining all elements of law and fact binding these entities to ACDLec.</w:t>
      </w:r>
    </w:p>
    <w:p>
      <w:r>
        <w:t>14. The parties consider in this regard that ACDLec does not exercise any control over the operating companies of Leclerc stores or Val Expansion. They do, however, consider that Val Expansion can be controlled by ScapAlsace insofar as (i) 47 of the associated operating companies of Val Expansion are also partners of ScapAlsace, (ii) Val Expansion's purpose is to take stakes in associated companies of ScapAlsace, and (iii) Val Expansion would have no means of its own, its registered office being located at the registered office of ScapAlsace and employees of ScapAlsace working for Val Expansion. The parties consider that, by analogy with the principles applied to investment funds, it would be appropriate to consider ScapAlsace as the "de facto management company" of Val Expansion, the role of the latter being comparable to that of an "investment vehicle."</w:t>
      </w:r>
    </w:p>
    <w:p>
      <w:r>
        <w:t>15. Nevertheless, regardless of the nature of the links between Val Expansion and ScapAlsace, the links established between ACDLec and its members allow it to exercise a decisive influence both on the operating companies of the E.Leclerc Centers that have adopted simplified joint-stock company statutes in accordance with those adopted by the board of directors of ACDLec on December 2, 2002, and on Val Expansion16.</w:t>
      </w:r>
    </w:p>
    <w:p>
      <w:r>
        <w:t>16. The Competition Authority recalled in its guidelines regarding the control of concentrations17 that a company, within the meaning of the provisions of Article L. 430-1 of the Commercial Code, can be any entity engaged in an economic activity, regardless of the legal status of this entity or its mode of financing. The decision-making practice18 has also considered that an association engaged in an economic activity, notably because its purpose is to control commercial companies, is a company within the meaning of the aforementioned provisions. In this case, ACDLec indeed constitutes a company within the meaning of the provisions of Article L. 430-1 of the Commercial Code as it engages in an economic activity consisting notably, according to the provisions of its statutes19, of defining the brand policy; protecting, promoting the sign "Centre Distributeur E.Leclerc"; controlling either for itself or on behalf of any commercial company grouping the E.Leclerc distribution centers, the conditions of the management of these centers or the E.Leclerc centers that are associated with it; or contributing to the creation of any organization likely to promote the activity, solidarity, and security of its members.</w:t>
      </w:r>
    </w:p>
    <w:p>
      <w:r>
        <w:t>17. Furthermore, among the 51 shareholders of Val Expansion, 43 shareholders20 representing 89.7% of its capital are simplified joint-stock companies with statutes whose provisions are similar and subject to the same operating rules regarding the bodies of the Leclerc movement21. The operation of stores under the Leclerc brand through simplified joint-stock companies with statutes that conform to those validated by ACDLec has been made mandatory by a decision of the board of directors of the association on December 2, 200222. The assessment of the control exercised by ACDLec over the entities responsible for operating Leclerc stores therefore requires analyzing the provisions of these statutes and the stipulations of the contracts signed between these companies and the bodies of the Leclerc movement.</w:t>
      </w:r>
    </w:p>
    <w:p>
      <w:r>
        <w:t>(ii) The organization of the Leclerc movement</w:t>
      </w:r>
    </w:p>
    <w:p>
      <w:r>
        <w:t>18. The organization of the Leclerc movement is based on two levels:</w:t>
        <w:br/>
        <w:t>- on the one hand, that of the members taken as natural persons, holders of the E.Leclerc sign and managing the stores. The members have organized themselves in the form of an association under the 1901 law, named the Association of E.Leclerc Distribution Centers ("ACDLec"). The latter is the guardian of common principles for the stores of the Leclerc brand, notably by defining the rules for membership in the brand, verifying compliance by the members with its statutes and decisions, and setting the major axes of the brand's strategy;</w:t>
        <w:br/>
        <w:t>- on the other hand, the level of the companies, among which are the operating companies of the E.Leclerc Centers, predominantly constituted in the form of SAS with statutes validated by ACDLec, in accordance with the obligations provided by the charter of the members of the Leclerc movement23, and the common companies (such as supply cooperatives or "SCA") almost exclusively constituted in the form of cooperatives of retail merchants. At the national level, all E.Leclerc centers belong to the Purchasing Group of E.Leclerc centers (the "Galec"), a cooperative public limited company with a management board and supervisory board that ensures the referencing of suppliers. At the regional level, the E.Leclerc centers also belong to a regional supply center, each depending on its geographical location; this is the case for the E.Leclerc centers in Alsace, which belong to ScapAlsace, a cooperative company with variable capital held by 59 shareholders before the operation.</w:t>
      </w:r>
    </w:p>
    <w:p>
      <w:r>
        <w:t>(iii) The joint control exercised by ACDLec over 43 shareholder companies of Val Expansion</w:t>
      </w:r>
    </w:p>
    <w:p>
      <w:r>
        <w:t>19. As recalled by the guidelines of the Competition Authority24, "when two or more companies have the possibility of exercising a decisive influence over another company, control is joint. The controlling companies are therefore called to collaborate and agree on the strategy of the controlled company."</w:t>
      </w:r>
    </w:p>
    <w:p>
      <w:r>
        <w:t>20. In this case, it should be noted that each of the majority shareholders of the shareholder companies of Val Expansion, which holds almost all of the shares25 and is responsible, as president26, for the operational management of the company operating a E.Leclerc center, exercises a decisive influence over this company.</w:t>
      </w:r>
    </w:p>
    <w:p>
      <w:r>
        <w:t>21. The holding, by ACDLec, of joint control over these shareholder companies of Val Expansion, which can be established by the simple possibility of exercising a decisive influence, arises from a set of indicators. This is based notably on the possibility for ACDLec to intervene in the appointment and dismissal of the president of 43 operating companies of Leclerc stores that are shareholders of Val Expansion, and the members of the sponsorship councils of the latter, in the commercial policy of these companies, and on the changes of brand and the transfer of shares of these companies.</w:t>
      </w:r>
    </w:p>
    <w:p>
      <w:r>
        <w:t>The possibility of intervening in the appointment and dismissal of the president of the operating companies that have adopted Leclerc SAS statutes, and the members of the sponsorship councils through the granting of brand contracts:</w:t>
      </w:r>
    </w:p>
    <w:p>
      <w:r>
        <w:t>22. The parties consider that ACDLec does not exercise any control over the operating companies operating Leclerc stores insofar as each of them is presided over by an independent merchant, and that the existence of a sponsorship council, endowed with control powers and not management powers, comparable to a board of directors, and composed itself of independent merchants, would not allow ACDLec to exercise influence over the management of the company.</w:t>
      </w:r>
    </w:p>
    <w:p>
      <w:r>
        <w:t>23. However, this analysis cannot be followed. In fact, ACDLec has a veto right over the appointment and exercise of the functions of the directors of 43 of the 51 shareholder companies of Val Expansion, which operate a Leclerc store and have adopted statutes conforming to those validated by the board of directors of ACDLec in 2002. Indeed, the statutes of</w:t>
      </w:r>
    </w:p>
    <w:p>
      <w:r>
        <w:rPr>
          <w:b/>
        </w:rPr>
        <w:t>[Pages 7–9]</w:t>
      </w:r>
    </w:p>
    <w:p>
      <w:r>
        <w:t>these companies27 provide that a "sponsorship council" appoints (by simple majority28) and dismisses (unanimously29) the president of the company, while the latter "assumes the general management of the company." This sponsorship council also has the right to request all documents and information and to give its opinion on several strategic issues30 (transfer of property or real estate rights, investment exceeding 1 million euros, company budgets).</w:t>
      </w:r>
    </w:p>
    <w:p>
      <w:r>
        <w:t>24. The president of the operating company of a Leclerc store that has adopted SAS Leclerc statutes certainly exercises control over it, but it is a joint control exercised alongside ACDLec.</w:t>
      </w:r>
    </w:p>
    <w:p>
      <w:r>
        <w:t>25. The president is required to submit the management of the store operating company he directs to the control of his sponsors. The charter of members of the E. Leclerc movement indeed provides that "sponsorship is and remains the fundamental institution of the movement31." And the sponsorship contract, which each president of the 43 SAS Leclerc shareholders of Val Expansion has signed with his sponsors, provides that "due to the fundamental assistance provided in various forms by the Leclerc Movement and by the Sponsors of the member, it was stipulated, from the establishment and setup of the Company that is to operate the E. Leclerc Distribution Center, functions of control, supervision, or decision in favor of the Sponsors, within said Company. The member prohibits himself (for himself, his spouse, their family, and any person they may have substituted, nominee or otherwise) from acting in any way to evict the Sponsors, one of them, or one of the bodies of the Leclerc Movement, from any function that has been entrusted to them."</w:t>
      </w:r>
    </w:p>
    <w:p>
      <w:r>
        <w:t>26. Furthermore, only individuals with rights or contracts with ACDLec are qualified to hold the position of president or participate in sponsorship councils:</w:t>
        <w:br/>
        <w:t>- the president of the companies must necessarily be a natural person who has obtained from ACDLec the right to use the E.Leclerc brand;</w:t>
        <w:br/>
        <w:t>- the members of the sponsorship council must benefit from a brand contract or a signboard contract issued by ACDLec.</w:t>
      </w:r>
    </w:p>
    <w:p>
      <w:r>
        <w:t>27. Thus, only members of ACDLec (or their operating company) can operate a store under the Leclerc brand, join a general supply cooperative of the Leclerc movement, Galec, or Val Expansion32, this status implying being the holder of a signboard (or brand) contract signed with ACDLec33, granting the right to use the E.Leclerc brand. Since ACDLec is not obliged to grant these usage rights, nor to justify its possible refusals34, and since it can withdraw this right of use from the E.Leclerc brand under stipulations of the brand contract that leave it a very wide margin of discretion35, ACDLec can control the appointment of the president but also the members of the sponsorship council of each of the 43 shareholder companies of Val Expansion operating a Leclerc store that have adopted SAS statutes compliant with those validated by the board of directors of ACDLec.</w:t>
      </w:r>
    </w:p>
    <w:p>
      <w:r>
        <w:t>28. However, the loss of the right to use the E.Leclerc brand is likely to justify the dismissal of the executives of the operating companies of Leclerc stores as well as the exclusion of the majority shareholders of these companies.</w:t>
      </w:r>
    </w:p>
    <w:p>
      <w:r>
        <w:t>29. Indeed, the statutes of the operating companies of E.Leclerc Centers that are shareholders of Val Expansion and have adopted SAS Leclerc statutes consider the loss of the right to use the brand as a "just cause for dismissal" of the president by the sponsorship council36. It follows that the sponsorship council37 of the operating companies has the power to appoint and dismiss the president. This power, combined with the prerogatives of granting and withdrawing the right to use the brand by ACDLec, ultimately gives the latter a decisive role in the appointment and dismissal of the executives of the operating companies of E. Leclerc Centers equipped with the standard SAS statutes of E.Leclerc.</w:t>
      </w:r>
    </w:p>
    <w:p>
      <w:r>
        <w:t>30. Moreover, the SAS Leclerc statutes adopted by 43 of the shareholders of Val Expansion provide that a partner can be excluded by a vote of three-quarters of the number of partners38, notably in the event of loss of the right to use the brand39. In the event of exclusion, the excluded partner is required to sell his shares to the other partners40. Consequently, in those of these companies where a managing shareholder (or he and his family) represent less than a quarter of the partners41, ACDLec, due to the control exercised over the other partners who are also operators of Leclerc stores, is able to have the managing/majority shareholder excluded and forced to sell his shares.</w:t>
      </w:r>
    </w:p>
    <w:p>
      <w:r>
        <w:t>Intervention in the commercial policy of the operating companies:</w:t>
        <w:br/>
        <w:t>31. ACDLec42 imposes, through brand contracts, in the charter of members of the Leclerc movement43 and in directives disseminated by its regional delegates who ensure their proper application44, two series of obligations whose content exceeds mere protection of the brand and, more generally, of ACDLec's investment in the E.Leclerc brand. These obligations indeed strongly limit the autonomy of the members in conducting their commercial policy.</w:t>
      </w:r>
    </w:p>
    <w:p>
      <w:r>
        <w:t>32. Firstly, the association receives all documents necessary for assessing the commercial operation of the stores by their managers. Members must thus send their balance sheet and income statement annually, as well as, monthly, the turnover of the previous month to ACDLec45.</w:t>
      </w:r>
    </w:p>
    <w:p>
      <w:r>
        <w:t>33. Secondly, ACDLec also imposes, in the brand contracts, obligations that give it a decisive role in the commercial strategy of the stores. These contracts indeed provide that members cannot apply margins higher than those practiced for wholesale sales and that, in any case, members commit "never to apply a margin higher than those recommended by ACDLec"46. Now, the setting of the margin rate is the essential element that conditions the commercial profitability of a large distribution brand. Moreover, the letter sent to all members of ACDLec on February 21, 1992, as well as the charter of members of ACDLec, which formalizes "the existing practices and rules within the Leclerc movement47," provides for provisions regarding compliance with a pricing policy. The charter of members48 particularly provides that "the practice of the lowest prices is the reason for being of the E. Leclerc Movement," that "the monitoring of compliance with these indices and their evolution has been entrusted to the pricing commission of ACDLec" and that "the average index objective to be achieved to ensure the overall competitiveness of the brand is [...]. Every member must strive for the set objective and in any case have a comprehensive index at OPUS lower than [...]." There is thus within the Leclerc movement a pricing policy defined by the strategic committee of ACDLec49 whose non-compliance is likely to be sanctioned, in accordance with the provisions of the charter of members of ACDLec50 which provides that "Non-compliance with this pricing rule leads to the implementation of a disciplinary procedure, a warning from ACDLec sanctions any excess, three consecutive warnings may lead to expulsion from the association."</w:t>
      </w:r>
    </w:p>
    <w:p>
      <w:r>
        <w:t>34. Furthermore, the brand contracts impose on members obligations precisely framing their supply, investments, and social policy51. Members are also required not to operate or manage any other commercial enterprise52, even if it has an activity similar to that of an E. Leclerc store. In addition to these obligations imposed by ACDLec in the brand contracts, members of ACDLec are required to comply with the obligations set forth in the charter of members of the Leclerc movement, including the obligation of sponsorship and the obligation to adopt SAS statutes whose model has been validated by ACDLec, the obligation to respect the social policy of the Leclerc movement, the limitation on the number of points of sale that can be operated by a member, and the obligation to respect the pricing policy of the Leclerc movement.</w:t>
      </w:r>
    </w:p>
    <w:p>
      <w:r>
        <w:rPr>
          <w:b/>
        </w:rPr>
        <w:t>[Pages 10–12]</w:t>
      </w:r>
    </w:p>
    <w:p>
      <w:r>
        <w:t>members of the Leclerc movement53 and by directives outlining the brand policy developed by the strategic committee of ACDLec54, and disseminated by its regional delegates55. Any failure to comply with these obligations may justify the withdrawal of the right to use the E.Leclerc brand56.</w:t>
      </w:r>
    </w:p>
    <w:p>
      <w:r>
        <w:t>The possibility of intervening in changes of brand and transfers of shares of the operating companies:</w:t>
        <w:br/>
        <w:t>35. The various statutory provisions or contractual stipulations applicable to the 43 shareholder companies of Val Expansion operating a Leclerc store make both the change of brand of the store and the transfer of shares of the company to a person outside the Leclerc movement very difficult.</w:t>
        <w:br/>
        <w:t>36. Regarding changes of brand, the statutes of the 43 operating companies of Leclerc stores constituted in the form of SAS provide that any change of brand can only take place after a unanimous vote of the partners57, which makes such a change impossible in the event that ACDLec opposes it and instructs its members, partners of the concerned operating company, to oppose it.</w:t>
        <w:br/>
        <w:t>37. Furthermore, the statutes of the purchasing central of the Leclerc movement (Galec), to which active members of the Leclerc movement are mandatorily affiliated, stipulate that members commit for a duration of […] years, any early termination resulting in the mandatory payment of a lump sum indemnity including the loss of rebates not yet paid by Galec and the payment of an amount representing [0-5]% of the member's turnover58.</w:t>
        <w:br/>
        <w:t>38. Additionally, the statutes of ScapAlsace, of which almost all partners of Val Expansion are members, provide that in the event of withdrawal or exclusion from ScapAlsace, a partner is required to pay a lump sum penalty equal to […] quarters of contributions charged by ScapAlsace to the member based on their orders from the […] last quarters59.</w:t>
        <w:br/>
        <w:t>39. Regarding the transfer of shares by the majority shareholder60, several obligations set forth in the statutes of the Leclerc SAS shareholders of Val Expansion obstruct this, namely:</w:t>
        <w:br/>
        <w:t>- the obligation to submit any transfer of shares to a third party for the prior unanimous agreement of the partners or, failing that, to proceed with a prior offer of sale for the benefit of the other partners, who themselves operate Leclerc stores; and</w:t>
        <w:br/>
        <w:t>- failing a transfer under these conditions, any transfer of shares to a third party is subject to a right of preemption in favor of the other partners.</w:t>
        <w:br/>
        <w:t>40. The notifying parties have also specified that they are not aware, in their region, of any recent example of a member leaving the Leclerc movement to operate their store within a competing network61.</w:t>
      </w:r>
    </w:p>
    <w:p>
      <w:r>
        <w:t>53 These include, in particular, the following obligations: sponsorship obligation and obligation to adopt SAS statutes whose model has been validated by ACDLec, obligation to respect the social policy of the Leclerc movement, limitation on the number of points of sale that can be operated by a member, and obligation to respect the pricing policy of the Leclerc movement.</w:t>
        <w:br/>
        <w:t>54 See Article 4 - "Development of the brand policy" of the internal regulations of ACDLec.</w:t>
        <w:br/>
        <w:t>55 See the provisions of Article 3 of the internal regulations of ACDLec.</w:t>
        <w:br/>
        <w:t>56 See the provisions of paragraph VIII of the brand contracts of the members of ACDLec, mentioned above.</w:t>
        <w:br/>
        <w:t>57 See the provisions of Article 18.4.4 of the SAS Leclerc statutes adopted by 43 of the shareholders of Val Expansion.</w:t>
        <w:br/>
        <w:t>58 See the provisions of Article 12 of the statutes of Galec.</w:t>
        <w:br/>
        <w:t>59 Statutes of ScapAlsace, Article 11 bis 2.</w:t>
        <w:br/>
        <w:t>60 See Article 12.2.4 of the statutes of the E. Leclerc store operating companies that are shareholders of Val Expansion.</w:t>
      </w:r>
    </w:p>
    <w:p>
      <w:r>
        <w:t>41. All the elements noted above, which notably include the possibility for ACDLec to intervene in both the appointment and dismissal of the presidents of operating companies that have adopted Leclerc SAS statutes, and the members of the sponsorship councils, in the commercial policy of the operating companies, and in the changes of brand and the transfers of shares of these companies, grant ACDLec the possibility to exercise a decisive influence over the 43 shareholder companies of Val Expansion operating a Leclerc store and having adopted Leclerc SAS statutes.</w:t>
      </w:r>
    </w:p>
    <w:p>
      <w:r>
        <w:t>(iii) The decisive influence of ACDLec on Val Expansion</w:t>
        <w:br/>
        <w:t>42. None of the partners of Val Expansion individually holds a majority of capital and voting rights or holds a veto right over Val Expansion.</w:t>
        <w:br/>
        <w:t>43. The statutes62 of Val Expansion provide that only companies operating a store under the Leclerc brand or persons approved by ACDLec can become partners of Val Expansion. Similarly, the statutes63 of Val Expansion stipulate that partners are automatically excluded from the company as soon as they lose their right to operate a store under the Leclerc brand. ACDLec, which is neither obliged to grant the right to the brand nor to justify its possible refusal by a legitimate reason, thus exercises a decisive influence over the choice of partners of Val Expansion.</w:t>
        <w:br/>
        <w:t>44. Furthermore, ACDLec holding joint control of 43 of the shareholders of Val Expansion, representing more than 89% of its capital, the association can exercise, through this means, a decisive influence over Val Expansion.</w:t>
        <w:br/>
        <w:t>45. Consequently, Val Expansion is exclusively controlled by ACDLec.</w:t>
      </w:r>
    </w:p>
    <w:p>
      <w:r>
        <w:t>B. THE OPERATION</w:t>
        <w:br/>
        <w:t>46. The operation is formalized by the firm and irrevocable offer addressed by Val Expansion to the Union of Cooperators of Alsace on July 4, 2013, and by the draft protocol of agreement that the Union of Cooperators of Alsace, Val Expansion, and the Alsace Cooperative Supply Society intend to sign.</w:t>
        <w:br/>
        <w:t>47. It consists of the acquisition by Val Expansion (if applicable via Valimmo and/or Valcom) of the shares of the Hypercoop company held by UCA. At the end of the operation, Val Expansion and its subsidiaries Valcom and Valimmo will hold 100% of the capital of Hypercoop.</w:t>
        <w:br/>
        <w:t>48. Insofar as it leads to the transition from joint control of Hypercoop by UCA and ACDLec, which controls Val Expansion and its subsidiaries, to exclusive control of Hypercoop by ACDLec, the operation constitutes a concentration within the meaning of Article L. 430-1 of the Commercial Code.</w:t>
        <w:br/>
        <w:t>49. The companies concerned operate retail stores and together achieve a total worldwide turnover of more than 75 million euros (Leclerc movement: […] euros for the fiscal year ending December 31, 2012; Hypercoop: […] euros for the same fiscal year). At least two of these companies achieve a turnover in France exceeding 15 million euros (Leclerc movement: […] euros for the fiscal year ending December 31, 2012; Hypercoop: […] euros for the same fiscal year). Given these turnover figures, the operation does not have a community dimension in that the Leclerc movement and UCA achieve more than two-thirds of their turnover in France. On the other hand, the control thresholds mentioned in II of Article L. 430-2 of the Commercial Code are exceeded. This operation is therefore subject to the provisions of Articles L. 430-3 and following of the Commercial Code relating to economic concentration.</w:t>
      </w:r>
    </w:p>
    <w:p>
      <w:r>
        <w:t>II. Definition of relevant markets</w:t>
        <w:br/>
        <w:t>50. The markets concerned by the operation fall within the sector of food distribution.</w:t>
        <w:br/>
        <w:t>51. According to the constant practice of national and community competition authorities, two categories of markets can be delineated in the food distribution sector: the upstream markets for the supply of consumer goods and the downstream markets for food retail distribution64.</w:t>
      </w:r>
    </w:p>
    <w:p>
      <w:r>
        <w:t>A. UPSTREAM MARKETS FOR SUPPLY</w:t>
        <w:br/>
        <w:t>52. According to a consistent decisional practice, companies in the food distribution sector are present in the upstream supply market, which includes the sale of everyday consumer goods by producers to customers such as wholesalers, retailers, or other businesses (for example, cafés/hotels/restaurants)65. The decisional practice of competition authorities does not distinguish based on the distribution channel.</w:t>
        <w:br/>
        <w:t>53. The analysis of the upstream market is conducted by product category. Thus, in the Carrefour/Promodès66 case, the Commission analyzed 23 distinct product groups, namely: (1) liquids, (2) drugstore, (3) perfumery and hygiene, (4) dry grocery, (5) parapharmacy, (6) perishable products in self-service, (7) delicatessen, (8) fishmonger, (9) fruits and vegetables, (10) bread and fresh pastries, (11) butcher, (12) DIY, (13) home, (14) culture, (15) toys, leisure and relaxation, (16) garden, (17) automotive, (18) large household appliances, (19) small household appliances, (20) photo/cinema, (21) Hi-fi/sound, (22) TV/video, (23) textiles/shoes.</w:t>
        <w:br/>
        <w:t>54. The European Commission subsequently confirmed this analysis according to which the market "can be divided into families or groups of products: consumer goods (CG: liquids, drugstore, perfumery, dry grocery, parapharmacy, perishable products...</w:t>
      </w:r>
    </w:p>
    <w:p>
      <w:r>
        <w:rPr>
          <w:b/>
        </w:rPr>
        <w:t>[Pages 13–15]</w:t>
      </w:r>
    </w:p>
    <w:p>
      <w:r>
        <w:t>in Self-Service), traditional expenses (charcuterie, fishmonger, fruits and vegetables, etc.), bazaar (DIY, home, culture, toys/leisure/relaxation, etc.), household appliances and textiles"67 and has never called it into question.</w:t>
      </w:r>
    </w:p>
    <w:p>
      <w:r>
        <w:t>55. In France, this approach to the upstream market of supply by groups of products has been adopted very frequently, and even very recently, by the Authority68.</w:t>
      </w:r>
    </w:p>
    <w:p>
      <w:r>
        <w:t>56. Finally, from a geographical perspective, the consistent decision-making practice of competition authorities considers that supply markets are of national geographical dimension69.</w:t>
      </w:r>
    </w:p>
    <w:p>
      <w:r>
        <w:t>57. There is no reason to challenge this delimitation in the context of the present operation.</w:t>
      </w:r>
    </w:p>
    <w:p>
      <w:r>
        <w:t>B. DOWNSTREAM MARKETS OF DISTRIBUTION</w:t>
        <w:br/>
        <w:t>1. SERVICE MARKETS</w:t>
        <w:br/>
        <w:t>58. The decision-making practice of competition authorities distinguishes within the downstream retail market two main categories of points of sale:</w:t>
        <w:br/>
        <w:t>- food-dominant businesses, of which more than one-third of turnover comes from the sale of food products, and</w:t>
        <w:br/>
        <w:t>- non-food businesses, whose turnover from food products is below this threshold70.</w:t>
      </w:r>
    </w:p>
    <w:p>
      <w:r>
        <w:t>59. The general food offer provided by food-dominant businesses allows consumers to obtain a complete set of primarily food products in a limited time and in a single space.</w:t>
      </w:r>
    </w:p>
    <w:p>
      <w:r>
        <w:t>60. Regarding the retail sale of everyday consumer goods, the decision-making practice71 distinguishes six categories of commerce using several criteria, including store size, sales techniques, accessibility, the nature of the service provided, and the range of products offered: (i) hypermarkets (food-dominant stores with a legal sales area greater than 2,500 m²), (ii) supermarkets (between 400 and 2,500 m²), (iii) specialized commerce, (iv) small retail shops or convenience stores (less than 400 m²), (v) maxi discounters, (vi) mail order.</w:t>
      </w:r>
    </w:p>
    <w:p>
      <w:r>
        <w:t>67 Decision of the Commission of May 4, 2006, COMP/M.4096, Carrefour/Hyparlo.</w:t>
      </w:r>
    </w:p>
    <w:p>
      <w:r>
        <w:t>68 See, for example, the Authority's decisions n°12-DCC-73 of May 30, 2012, regarding the creation of a full-function joint venture by Retail Leader Price Investissement (Casino group) and Messrs. Planes and Vernat, and n° 12-DCC-63 of May 9, 2012, regarding the exclusive control of Guyenne et Gascogne SA by Carrefour SA.</w:t>
      </w:r>
    </w:p>
    <w:p>
      <w:r>
        <w:t>69 See the aforementioned Commission decision COMP/M.1684; letter from the Minister of Economy, Finance and Industry dated September 9, 2005, to the advisors of the Casino group and the Baud family regarding a concentration in the food retail sector, BOCCRF n° 5 of April 29, 2006; the decision of the Competition Authority n° 12-DCC-63 of May 9, 2012, regarding the exclusive control of Guyenne et Gascogne SA by Carrefour SA, emphasis added. Also see for recent illustrations: decisions of the Competition Authority n° 12-DCC-73 mentioned above; n° 11-DCC-05 of January 17, 2011, regarding the exclusive control of Distri Sud-Ouest by Retail Leader Price Investissement.</w:t>
      </w:r>
    </w:p>
    <w:p>
      <w:r>
        <w:t>70 See the opinion of the Competition Council n° 97-A-04 of the Competition Council dated January 21, 1997, regarding various issues concerning the concentration of distribution and opinion n° 07-A-06 of July 16, 2007, regarding the acquisition by Cafom of the distribution pole of Fincar in the home equipment sales sector.</w:t>
      </w:r>
    </w:p>
    <w:p>
      <w:r>
        <w:t>71 See, for example, the decision of the Competition Authority n° 12-DCC-63 mentioned above.</w:t>
      </w:r>
    </w:p>
    <w:p>
      <w:r>
        <w:t>61. It should be noted that the surface area thresholds must be used with caution and may be adapted to the specific case, as stores whose area is close to a threshold, either below or above, may be in direct competition with stores of another category.</w:t>
      </w:r>
    </w:p>
    <w:p>
      <w:r>
        <w:t>62. Competition authorities consider that, while each category of store retains its specificity, there is asymmetric competition between certain of these categories. They72 thus distinguish:</w:t>
        <w:br/>
        <w:t>- a market comprising only hypermarkets; and</w:t>
        <w:br/>
        <w:t>- a market comprising supermarkets and equivalent forms of commerce (hypermarkets, hard discount, and popular stores) excluding small retail shops (less than 400 m²).</w:t>
      </w:r>
    </w:p>
    <w:p>
      <w:r>
        <w:t>63. There is no reason to challenge this market segmentation in the context of the present operation.</w:t>
      </w:r>
    </w:p>
    <w:p>
      <w:r>
        <w:t>2. GEOGRAPHICAL DELIMITATION</w:t>
        <w:br/>
        <w:t>64. It follows from the decision-making practice73 that the conditions of competition are assessed over two different areas according to the size of the stores:</w:t>
        <w:br/>
        <w:t>- a market where consumer demand meets the supply of supermarkets and equivalent forms of commerce located within a 15-minute drive. These forms of commerce may include, in addition to supermarkets, hypermarkets located near consumers and discount stores;</w:t>
        <w:br/>
        <w:t>- a second market where consumer demand from one area meets the supply of hypermarkets that they can access within a 30-minute drive and which are, from their perspective, substitutable for each other.</w:t>
      </w:r>
    </w:p>
    <w:p>
      <w:r>
        <w:t>65. The Authority therefore considers that the competitive analysis only concerns the second market when the target store is a supermarket, the first market being taken into account only when the target store is a hypermarket.</w:t>
      </w:r>
    </w:p>
    <w:p>
      <w:r>
        <w:t>66. The Authority consistently reminds that these delimitations are subject to change on a case-by-case basis, depending on the characteristics of the local area, as other criteria may be taken into account to assess the impact of a concentration on the competitive situation in retail distribution markets, which may lead to refining, on a case-by-case basis, the usual delimitations presented above.</w:t>
      </w:r>
    </w:p>
    <w:p>
      <w:r>
        <w:t>67. In this case, the analysis will therefore focus on areas defined in accordance with the decision-making practice of the Authority. The delimitation of the 30-minute catchment area around the Wintzenheim store has also been subject to verification as stores are present on the periphery of this area, at a distance slightly greater or slightly less than the aforementioned 15 or 30-minute drive distances. The parties have provided a study conducted by a specialized institute in the marketing of statistics, surveys, and opinion studies, based on data on commercial equipment and the actual consumption of consumers in the areas concerned. This study aims to measure, for a given store, the competitive pressure exerted on its turnover by the surrounding stores. These estimates do not fundamentally challenge the criteria of 15 or 30 minutes of driving time retained by the decision-making practice but allow for refining on a case-by-case basis the consideration of the actual size of the stores and their distance from the target store. They will be discussed in the analysis of the 30-minute area around the Wintzenheim store, below.</w:t>
      </w:r>
    </w:p>
    <w:p>
      <w:r>
        <w:t>III. Competitive Analysis</w:t>
        <w:br/>
        <w:t>A. UPSTREAM SUPPLY MARKETS</w:t>
        <w:br/>
        <w:t>68. Regarding the upstream supply markets, the purchases of food-dominant retail stores operating in France under the Leclerc brand represented in 2011 less than […] euros, which accounts for less than [20-30]% of purchases in the overall supply market, regardless of the estimate used to assess the size of this market. The purchases of the target stores, largely made from ScapAlsace, represent less than [0-5]% of the overall supply market.</w:t>
      </w:r>
    </w:p>
    <w:p>
      <w:r>
        <w:t>69. If one takes into account a segmentation of supply markets by product type, regardless of the segmentation retained, the share of purchases by stores operating under the Leclerc brand in each of the markets defined by product category is less than [10-20]% and that of the target stores is less than [0-5]%. The increment induced by the operation therefore remains very low.</w:t>
      </w:r>
    </w:p>
    <w:p>
      <w:r>
        <w:t>70. The operation is therefore not likely to strengthen Leclerc's purchasing power in the upstream supply markets, regardless of the market segmentation retained.</w:t>
      </w:r>
    </w:p>
    <w:p>
      <w:r>
        <w:t>B. DOWNSTREAM MARKETS OF FOOD-DOMINANT RETAIL DISTRIBUTION</w:t>
        <w:br/>
        <w:t>71. Twenty-eight stores are involved in the operation, including six hypermarkets and twenty-two supermarkets. It is therefore necessary to consider the effects of the operation separately for these two types of stores.</w:t>
      </w:r>
    </w:p>
    <w:p>
      <w:r>
        <w:rPr>
          <w:b/>
        </w:rPr>
        <w:t>[Pages 16–18]</w:t>
      </w:r>
    </w:p>
    <w:p>
      <w:r>
        <w:t xml:space="preserve">1. ANALYSIS RELATING TO THE HYPERMARKETS AFFECTED BY THE OPERATION  </w:t>
        <w:br/>
        <w:t xml:space="preserve">72. The six hypermarkets affected by the operation are located in the following areas:  </w:t>
        <w:br/>
        <w:t xml:space="preserve">Surface in m²  </w:t>
        <w:br/>
        <w:t xml:space="preserve">Marmoutier 9,423  </w:t>
        <w:br/>
        <w:t xml:space="preserve">Soufflenheim 3,156  </w:t>
        <w:br/>
        <w:t xml:space="preserve">Schiltigheim 6,500  </w:t>
        <w:br/>
        <w:t xml:space="preserve">Obernai 5,316  </w:t>
        <w:br/>
        <w:t xml:space="preserve">Geispolsheim 9,999  </w:t>
        <w:br/>
        <w:t>Wintzenheim 8,506</w:t>
      </w:r>
    </w:p>
    <w:p>
      <w:r>
        <w:t>73. The competitive analysis was conducted in defined catchment areas taking into account a 15-minute and 30-minute drive around the target stores.</w:t>
      </w:r>
    </w:p>
    <w:p>
      <w:r>
        <w:t>74. This analysis first shows that the operation does not result in any overlap of activity around the store in Marmoutier (67).</w:t>
      </w:r>
    </w:p>
    <w:p>
      <w:r>
        <w:t>75. The operation also does not result in any overlap of activities in the 15-minute areas around the stores in Soufflenheim and Obernai, including hypermarkets, supermarkets, and hard-discounters. Furthermore, in the 30-minute area around these stores including hypermarkets, the combined market share of the parties remains below [30-40]%, with the new entity still facing competition from numerous brands, including Cora, Système U, Auchan, and ITM.</w:t>
      </w:r>
    </w:p>
    <w:p>
      <w:r>
        <w:t>76. Moreover, in the 15-minute and 30-minute areas around the stores in Schiltigheim and Geispolsheim, the combined market share of the parties will remain below [30-40]%, with the parties still facing competition from at least four brands in each of these catchment areas.</w:t>
      </w:r>
    </w:p>
    <w:p>
      <w:r>
        <w:t>77. Finally, regarding the hypermarket in Wintzenheim (68), the stores operated by Hypercoop and the partners of ScapAlsace and Val Expansion will represent, after the operation, [20-30]% of the sales areas in the 15-minute zone around the target store including hypermarkets, supermarkets, and hard-discounters. The parties will notably still face competition from Monoprix stores ([0-5]% of the sales areas in the zone), Auchan ([5-10]%), Super U ([10-20]%), and Intermarché ([5-10]%).</w:t>
      </w:r>
    </w:p>
    <w:p>
      <w:r>
        <w:t>78. In the area defined taking into account a 30-minute drive around the store in Wintzenheim and including hypermarkets, the combined market share of the parties is [40-50]%. They face competition in this area from Cora stores ([30-40]% of the sales areas in the zone), ITM ([5-10]%), Système U ([0-5]%), and Monoprix ([0-5]%).</w:t>
      </w:r>
    </w:p>
    <w:p>
      <w:r>
        <w:t>79. The notifying party has also provided for this area the results of a study conducted by a specialized institute, relating to the attraction that competing stores may exert on the clientele of the target store. These data tend to show that the attractiveness on the clientele of the target hypermarket in Wintzenheim from the hypermarkets located near the cities of Sélestat and Mulhouse, cities located on the edge of the area defined taking into account a 30-minute drive around the target store, is rather low. It also emerges from this data that a Cora store located in Houssen as well as two hypermarkets, respectively operated under the Hyper U and Monoprix brands, located in Colmar, are likely to attract a significant share of the clientele of the target hypermarket in Wintzenheim.</w:t>
      </w:r>
    </w:p>
    <w:p>
      <w:r>
        <w:t>80. In light of these elements, the operation is not likely to harm competition in the defined catchment areas around the target hypermarkets.</w:t>
      </w:r>
    </w:p>
    <w:p>
      <w:r>
        <w:t xml:space="preserve">2. ANALYSIS RELATING TO THE SUPERMARKETS AFFECTED BY THE OPERATION  </w:t>
        <w:br/>
        <w:t xml:space="preserve">81. The twenty-two supermarkets affected by the operation are located in the following areas:  </w:t>
        <w:br/>
        <w:t xml:space="preserve">Surface in m²  </w:t>
        <w:br/>
        <w:t xml:space="preserve">Strasbourg - Koenigshoffen 1,060  </w:t>
        <w:br/>
        <w:t xml:space="preserve">Strasbourg - Fg national 806  </w:t>
        <w:br/>
        <w:t xml:space="preserve">Illkirch 1,000  </w:t>
        <w:br/>
        <w:t xml:space="preserve">Phalsbourg 1,800  </w:t>
        <w:br/>
        <w:t xml:space="preserve">Rixheim 970  </w:t>
        <w:br/>
        <w:t xml:space="preserve">Hilsenheim 1,500  </w:t>
        <w:br/>
        <w:t xml:space="preserve">Holtzheim 1,192  </w:t>
        <w:br/>
        <w:t xml:space="preserve">Strasbourg - Elsau 1,016  </w:t>
        <w:br/>
        <w:t xml:space="preserve">Strasbourg - Neuhof 1,700  </w:t>
        <w:br/>
        <w:t xml:space="preserve">Reichstett 1,147  </w:t>
        <w:br/>
        <w:t xml:space="preserve">Hochfelden 949  </w:t>
        <w:br/>
        <w:t xml:space="preserve">Soultz 1,700  </w:t>
        <w:br/>
        <w:t xml:space="preserve">Masevaux 1,981  </w:t>
        <w:br/>
        <w:t xml:space="preserve">Duttlenheim 987  </w:t>
        <w:br/>
        <w:t xml:space="preserve">Haguenau 1,497  </w:t>
        <w:br/>
        <w:t xml:space="preserve">Gries 700  </w:t>
        <w:br/>
        <w:t xml:space="preserve">Bischwiller 1,344  </w:t>
        <w:br/>
        <w:t xml:space="preserve">Herrlisheim 1,500  </w:t>
        <w:br/>
        <w:t xml:space="preserve">Drusenheim 1,500  </w:t>
        <w:br/>
        <w:t xml:space="preserve">Roeschwoog 1,500  </w:t>
        <w:br/>
        <w:t xml:space="preserve">Ingwiller 954  </w:t>
        <w:br/>
        <w:t>Lemberg 941</w:t>
      </w:r>
    </w:p>
    <w:p>
      <w:r>
        <w:t>82. The competitive analysis conducted in the areas defined from the target points of sale, taking into account a maximum drive of 15 minutes, shows that in the areas of Hilsenheim, Holtzheim, Hochfelden, Soultz, Masevaux, Duttlenheim, Haguenau, Gries, Bischwiller, Herrlisheim, Drusenheim, Roeschwoog, Ingwiller, and Lemberg, the operation does not result in any overlap of activity.</w:t>
      </w:r>
    </w:p>
    <w:p>
      <w:r>
        <w:t>83. In the areas of Phalsbourg, Strasbourg-Koenigshoffen, Strasbourg-Faubourg national, Rixheim, Reichstett, Strasbourg-Elsau, and Strasbourg-Neuhof, the combined market share of the parties will remain below [20-30]% after the operation, with the parties still facing competition from at least three different brands.</w:t>
      </w:r>
    </w:p>
    <w:p>
      <w:r>
        <w:t>84. In the 15-minute area around the target store in Illkirch, the parties hold a combined market share of [30-40]%. They are notably facing competition from Auchan stores ([30-40]% of the sales areas in the zone), Système U ([10-20]%), Lidl ([5-10]%), Norma ([0-5]%), and Grand Frais ([0-5]%).</w:t>
      </w:r>
    </w:p>
    <w:p>
      <w:r>
        <w:t>85. It emerges from these elements that the operation is not likely to harm competition in the defined catchment areas around the target supermarkets.</w:t>
      </w:r>
    </w:p>
    <w:p>
      <w:r>
        <w:t xml:space="preserve">DECIDES  </w:t>
        <w:br/>
        <w:t xml:space="preserve">Single Article: The operation notified under number 13-102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