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https://www.autoritedelaconcurrence.fr/fr/decision-de-controle-des-concentrations/relative-la-prise-de-controle-exclusive-de-la-societe-3</w:t>
      </w:r>
    </w:p>
    <w:p>
      <w:r>
        <w:t>Pages translated : 10</w:t>
      </w:r>
    </w:p>
    <w:p/>
    <w:p>
      <w:r>
        <w:rPr>
          <w:b/>
        </w:rPr>
        <w:t>[Pages 1–3]</w:t>
      </w:r>
    </w:p>
    <w:p>
      <w:r>
        <w:t xml:space="preserve">FRENCH REPUBLIC  </w:t>
        <w:br/>
        <w:t xml:space="preserve">Decision No. 16-DCC-166 of October 31, 2016  </w:t>
        <w:br/>
        <w:t xml:space="preserve">regarding the exclusive control of the company Bazarchic by the company UPLIC (Galeries Lafayette group)  </w:t>
        <w:br/>
        <w:t xml:space="preserve">The Competition Authority,  </w:t>
        <w:br/>
        <w:t xml:space="preserve">Having regard to the notification file submitted in full to the merger service on September 27, 2016, regarding the exclusive control of the company Bazarchic by the company Union Pour Les Investissements Commerciaux, formalized by a share transfer agreement and a letter of agreement concerning the main terms and conditions of the purchase and sale promises and the shareholders' agreement to be concluded between the parties, dated July 28, 2016;  </w:t>
        <w:br/>
        <w:t xml:space="preserve">Having regard to Book IV of the Commercial Code relating to the freedom of prices and competition, and in particular its Articles L. 430-1 to L. 430-7;  </w:t>
        <w:br/>
        <w:t xml:space="preserve">Having regard to the additional elements transmitted by the parties during the investigation;  </w:t>
        <w:br/>
        <w:t xml:space="preserve">Adopts the following decision:  </w:t>
        <w:br/>
        <w:t xml:space="preserve">I. The companies concerned and the transaction  </w:t>
        <w:br/>
        <w:t xml:space="preserve">1. The company Union Pour Les Investissements Commerciaux (hereinafter, "UPLIC") is a 100% subsidiary of the Galeries Lafayette group whose parent company is the Société Anonyme des Galeries Lafayette (hereinafter, "SAGL") controlled and held at […]% by the Moulin family. The Galeries Lafayette group is a major player in retail in the sectors of fashion, luxury, beauty, leisure, and home in France. The group operates the generalist brands Galeries Lafayette and BHV, as well as the jewelry or watchmaking brands Louis Pion, Didier Guérin, Royal Quartz, and Augis 1830, through numerous stores and e-commerce websites. In this sector, the Galeries Lafayette group also operates an online site for selling second-hand luxury items, instantluxe.com. It also operates the online site voyages.galerieslafayette.com which offers tour operator and travel agency services.  </w:t>
        <w:br/>
        <w:t xml:space="preserve">2. The company Bazarchic heads the Bazarchic group specialized in event-based sales of products from major brands in the fields of fashion, decoration, wine and spirits, and travel, and marginally in other sectors (small jewelry, cosmetics, and small electronic equipment). Through its two websites, Bazarchic.com and Mytravelchic.com (dedicated to travel), the Bazarchic group organizes exclusive sales for a limited duration. The group also operates five physical outlet stores for luxury products in France (three under the NGR brand and two under the Bazarchic brand).  </w:t>
        <w:br/>
        <w:t xml:space="preserve">3. The transaction involves the acquisition of […]% of the share capital and voting rights of the company Bazarchic by UPLIC1. As it results in the exclusive control of Bazarchic by UPLIC, the transaction constitutes a concentration within the meaning of Article L.430-1 of the Commercial Code.  </w:t>
        <w:br/>
        <w:t xml:space="preserve">4. The companies concerned together achieve a total worldwide turnover excluding taxes of more than 150 million euros (Galeries Lafayette group: […] euros for the fiscal year ending December 31, 2015; Bazarchic: […] euros for the same fiscal year). Each of these companies has achieved in France a turnover exceeding 50 million euros (Galeries Lafayette group: […] euros for the fiscal year ending December 31, 2015; Bazarchic: […] euros for the same fiscal year). Given these turnover figures, the transaction does not fall under the jurisdiction of the European Union. On the other hand, the control thresholds mentioned in I of Article L. 430-2 of the Commercial Code are exceeded. This transaction is therefore subject to the provisions of Articles L. 430-3 and following of the Commercial Code relating to economic concentration.  </w:t>
        <w:br/>
        <w:t xml:space="preserve">II. Delimitation of the relevant markets  </w:t>
        <w:br/>
        <w:t xml:space="preserve">5. Bazarchic is primarily active in the sector of the distribution of destocked products. In this capacity, it operates a website, Bazarchic.com, as well as five physical outlet stores, under the Bazarchic and NGR brands, specialized in event-based sales of branded products (notably clothing and accessories, jewelry, cosmetics, decoration, wine, and spirits). The Galeries Lafayette group is also active in this sector through its website, Galerieslafayette.com, which has a "bargain" section and three physical stores dedicated to the sale of destocked products (notably clothing and accessories, jewelry, cosmetics, wines, and spirits).  </w:t>
        <w:br/>
        <w:t xml:space="preserve">6. The parties are also active in the travel services sector through their respective websites (voyages.galerieslafayette.com and mytravelchic.com).  </w:t>
        <w:br/>
        <w:t xml:space="preserve">7. Consequently, the activities of the parties overlap in the markets for destocked products (A) and travel services (B).  </w:t>
        <w:br/>
        <w:t xml:space="preserve">A. THE MARKETS FOR DESTOCKED PRODUCTS  </w:t>
        <w:br/>
        <w:t xml:space="preserve">8. Regarding food and non-food products, competition authorities distinguish the upstream markets of supply (1) from the downstream markets of retail distribution (2).  </w:t>
        <w:br/>
        <w:t xml:space="preserve">1 The remaining share capital and voting rights of Bazarchic will be held directly and indirectly by the historical founding managers of Bazarchic, currently shareholders of the latter, without being able to hold veto rights over the strategic decisions of Bazarchic.  </w:t>
        <w:br/>
        <w:t xml:space="preserve">2  </w:t>
        <w:br/>
        <w:t xml:space="preserve">1. UPSTREAM MARKET FOR THE SUPPLY OF DESTOCKED PRODUCTS  </w:t>
        <w:br/>
        <w:t xml:space="preserve">a) The product markets  </w:t>
        <w:br/>
        <w:t xml:space="preserve">9. The parties to the transaction purchase from various suppliers the items they then market to individuals.  </w:t>
        <w:br/>
        <w:t xml:space="preserve">10. Based on the delimitations retained by the competition authorities regarding the markets for the supply of non-food products, the parties believe that it is appropriate to distinguish as many markets as there are families of destocked products.  </w:t>
        <w:br/>
        <w:t xml:space="preserve">11. In this case, the items purchased by the parties2 belong to the families of clothing products (clothing, underwear, and shoes), (ii) watchmaking, jewelry, and goldsmithing, (iii) luxury perfumes and cosmetics, and (iv) wines and spirits.  </w:t>
        <w:br/>
        <w:t xml:space="preserve">b) The geographical markets  </w:t>
        <w:br/>
        <w:t xml:space="preserve">12. According to the decision-making practice of competition authorities, the markets for the supply of non-food products are at least national in dimension. Specifically regarding the markets for the supply of clothing and shoes, the markets have been defined by the Competition Authority as being of global dimension, while leaving the question of their exact delimitation open3.  </w:t>
        <w:br/>
        <w:t xml:space="preserve">13. In this case, the question of the exact delimitation of the markets for the supply of destocked products can remain open, as the conclusions of the competitive analysis remain unchanged regardless of the delimitations retained.  </w:t>
        <w:br/>
        <w:t xml:space="preserve">2. DOWNSTREAM MARKETS FOR THE DISTRIBUTION OF DESTOCKED PRODUCTS  </w:t>
        <w:br/>
        <w:t xml:space="preserve">a) The product markets  </w:t>
        <w:br/>
        <w:t xml:space="preserve">14. The decision-making practice of competition authorities4 considers that there is a market for the retail distribution of low-priced items in which stores specialized in the destocking of branded products or the sale of discounted products sell low-priced items to consumers.  </w:t>
        <w:br/>
        <w:t xml:space="preserve">Segmentation by product family  </w:t>
        <w:br/>
        <w:t xml:space="preserve">15. Based on the market delimitations retained by the competition authorities regarding the retail distribution of food and non-food products, the parties have considered the existence of a segmentation of this market by the following product categories: (i) clothing (clothing, underwear, and shoes), (ii) watchmaking, jewelry, and goldsmithing, (iii) luxury perfumes and cosmetics, and (iv) wines and spirits.  </w:t>
        <w:br/>
        <w:t xml:space="preserve">2 The Galeries Lafayette group, however, primarily sources from its own stocks.  </w:t>
        <w:br/>
        <w:t xml:space="preserve">3 See in particular decision No. 16-DCC-75 of May 23, 2016, regarding the acquisition of the company Becquet SAS by the company Domoti SAS.  </w:t>
        <w:br/>
        <w:t xml:space="preserve">4 Decision No. 12-DCC-88 of June 20, 2012, regarding the exclusive control of the company Stokomani Holding SAS by the company Sagard SAS and letter from the Minister of Economy, Finance and Employment dated May 27, 2007, to the board of the investment fund Advent International Corporation, regarding concentration in the sector of discounted items (C2007-56).  </w:t>
        <w:br/>
        <w:t>3</w:t>
      </w:r>
    </w:p>
    <w:p>
      <w:r>
        <w:rPr>
          <w:b/>
        </w:rPr>
        <w:t>[Pages 4–6]</w:t>
      </w:r>
    </w:p>
    <w:p>
      <w:r>
        <w:t>Segmentation by distribution channel</w:t>
        <w:br/>
        <w:t>16. Competition authorities have questioned the relevance of segmentation in the retail sector of food and non-food products between distance selling ("DS") on the one hand and in-store sales on the other.</w:t>
        <w:br/>
        <w:t>17. Regarding the retail distribution of non-food products, the Competition Authority has, on several occasions, recognized the existence of a distinct market for DS.</w:t>
        <w:br/>
        <w:t>18. In its opinion No. 12-A-20 of September 18, 2012, concerning the competitive functioning of electronic commerce, the Authority did not rule out that the substitution relationship between the two distribution channels may increase in the future, due to the growing penetration of the internet in households and the increase in the number of consumers making their purchases through this channel. It thus recognized, in a recent decision in the electronic products sales sector, that the channels of physical store sales and online sales are now substitutable.</w:t>
        <w:br/>
        <w:t>19. In this case, the exact definition of the relevant market may be left open as the conclusions of the competitive analysis remain unchanged regardless of the delimitation retained. The analysis will therefore be conducted by distinguishing the distribution channel (online and in physical points of sale) and on a global market including these two distribution channels.</w:t>
        <w:br/>
        <w:t>b) Geographical markets</w:t>
        <w:br/>
        <w:t>20. Decision-making practice has considered that the market for the retail distribution of low-priced items should be regarded as at most national in dimension. The Authority has also considered delimiting the geographical market at the local level by analogy with its analysis of the retail distribution markets for similar goods. Thus, particularly regarding the retail distribution of clothing, competition occurs between points of sale located in catchment areas defined by two methods:</w:t>
        <w:br/>
        <w:t>- on the one hand, from the consumers' perspective, there are as many markets as there are cities where retailers likely to sell these items are located, each of these markets corresponding to the commercial attraction zone where clothing can generally be purchased;</w:t>
        <w:br/>
        <w:t>- on the other hand, the relevant geographical market would correspond, for large food stores ("GSA") and large specialized stores ("GSS"), to an attractiveness radius of 20 minutes of driving time. This catchment area is also retained for stores located in shopping centers attached to GSS or GSA.</w:t>
        <w:br/>
        <w:t>21. Regarding the online distribution of non-food products, particularly clothing, decision-making practice has retained a national delimitation, given the linguistic differences, the heterogeneity of consumer habits, as well as the costs and delivery times.</w:t>
        <w:br/>
        <w:t>22. In this case, the analysis of the distribution of destocked products will be conducted both at the local level, in the cities where the parties' stores are located and within a catchment area of a 20-minute driving radius, and at the national level.</w:t>
        <w:br/>
        <w:t>B. TRAVEL SERVICES</w:t>
        <w:br/>
        <w:t>23. The parties are both active in the various markets of the travel services sector. This sector, which has undergone significant changes in the last ten years, traditionally included three categories of players: suppliers (hotels, airlines, etc.), tour operators who build trips from the services offered by suppliers, and finally travel agencies that act as intermediaries by distributing trips to consumers. However, there is a dual phenomenon of disintermediation linked to the development of online offers that allow consumers to directly compose their trips, and diversification of the offer, with market players engaging in activities as tour operators, travel agencies (both online and physical), suppliers (hotels), and direct sales to consumers.</w:t>
        <w:br/>
        <w:t>24. The practice of competition authorities considers that within the travel services sector, the activity of designing and selling package trips by tour operators and the activity of travel agents should be distinguished.</w:t>
        <w:br/>
        <w:t>1. THE PACKAGE TRAVEL SECTOR</w:t>
        <w:br/>
        <w:t>25. The activity of a tour operator consists of developing package trips or "turnkey" trips from assembled services. These trips include accommodation in a given country, as well as round-trip travel, primarily by plane. Package trips are marketed either directly by the tour operator or through a travel agency. In the latter case, sales of the package trip to the distributor and the final consumer occur simultaneously.</w:t>
        <w:br/>
        <w:t>26. Decision-making practice distinguishes the markets for the supply of tour operators in air transport capacities and hotel nights and the market for the design and sale of package trips.</w:t>
        <w:br/>
        <w:t>a) The markets for the supply of tour operators</w:t>
        <w:br/>
        <w:t>The purchase of air transport capacities</w:t>
        <w:br/>
        <w:t>27. Decision-making practice distinguishes a market for the purchase by tour operators of air transport capacities, distinct from that of aircraft rental by airlines. Various additional segmentations have been considered based on the distance traveled (long distance; short distance), flight category (regular/charter flights), and country of destination.</w:t>
        <w:br/>
        <w:t>28. In this case, it is not necessary to rule on the relevance of all these segmentations since this question has no impact on the competitive analysis.</w:t>
        <w:br/>
        <w:t>29. Regarding the geographical market, while leaving the question open, decision-making practice considers that the market for the supply by tour operators of air transport capacities is of national dimension.</w:t>
        <w:br/>
        <w:t>The purchase of hotel nights</w:t>
        <w:br/>
        <w:t>30. French decision-making practice distinguishes as many markets for the purchase of hotel nights as there are geographical destinations concerned by package tours. The European Commission, on the other hand, has identified a global market for the supply of hotel nights by tour operators and has considered a segmentation based on the country of destination.</w:t>
        <w:br/>
        <w:t>31. Regarding the geographical market, while leaving the question open, decision-making practice considers that the market for the supply by tour operators of hotel nights is at least of national dimension. In this case, the analysis will be conducted at the national level.</w:t>
        <w:br/>
        <w:t>b) The market for the design and sale of package trips</w:t>
        <w:br/>
        <w:t>32. Competition authorities have considered several segmentations within the market for the design and sale of package trips, notably according to the destination (domestic trips, trips abroad) and, if the destination is abroad, according to the distance traveled (long distance, short distance), type of vacation (sun and beach, mountain, city), and country of destination. In this case, it is not necessary to rule on the relevance of all these segmentations, as this question has no impact on the competitive analysis.</w:t>
        <w:br/>
        <w:t>33. Geographically, decision-making practice considers that the market for the design and sale of package trips is of national dimension.</w:t>
        <w:br/>
        <w:t>2. THE TRAVEL AGENCY SERVICES SECTOR</w:t>
        <w:br/>
        <w:t>34. The practice of competition authorities considers that the travel agency services sector should be segmented between leisure travel and business travel. In this case, Bazarchic only markets services for leisure travel.</w:t>
        <w:br/>
        <w:t>35. Within the leisure travel market, the package travel market constitutes a distinct segment. Several sub-segmentations of this market have also been considered, notably according to the destination (domestic trips, trips abroad) and, if the destination is abroad, according to the distance traveled (long distance, short distance), type of vacation (sun and beach, mountain, city), and country of destination.</w:t>
      </w:r>
    </w:p>
    <w:p>
      <w:r>
        <w:rPr>
          <w:b/>
        </w:rPr>
        <w:t>[Pages 7–9]</w:t>
      </w:r>
    </w:p>
    <w:p>
      <w:r>
        <w:t>36. It has also been considered to segment the leisure travel markets based on the distribution channel (online or through physical agencies). While leaving the question open, the European Commission has considered taking into account the competitive pressure exerted by the direct sale of package tours by tour operators on the market for the distribution of package tours by travel agencies.</w:t>
      </w:r>
    </w:p>
    <w:p>
      <w:r>
        <w:t>37. Regarding its geographical delimitation, decision-making practice has considered that the market for travel agency services is of national dimension.</w:t>
      </w:r>
    </w:p>
    <w:p>
      <w:r>
        <w:t>III. Competitive Analysis</w:t>
        <w:br/>
        <w:t>A. HORIZONTAL EFFECTS</w:t>
        <w:br/>
        <w:t>1. ON THE MARKET FOR OUTLET PRODUCTS</w:t>
        <w:br/>
        <w:t>a) On the upstream market for the supply of outlet products</w:t>
        <w:br/>
        <w:t>38. The parties have not been able to provide an estimate of the size of this market or to accurately assess their positions. Nevertheless, they believe that the combined market share of the parties in this market, regardless of the definition adopted, will be less than 6%. They note that the transaction will only result in a limited increment of market shares, as the outlet products marketed by the Galeries Lafayette group largely come from unsold items from its own stores.</w:t>
      </w:r>
    </w:p>
    <w:p>
      <w:r>
        <w:t>39. In light of these elements, the transaction is not likely to harm competition in the markets for the supply of outlet products through horizontal effects.</w:t>
      </w:r>
    </w:p>
    <w:p>
      <w:r>
        <w:t>b) On the downstream market for the retail sale of outlet products</w:t>
        <w:br/>
        <w:t>On the market for physical store sales of outlet products</w:t>
        <w:br/>
        <w:t>40. Bazarchic operates five outlet stores located in Paris (16th arrondissement), Clichy (92), Grenoble (38), and in the shopping centers of Vélizy 1 (78) and Vélizy 2 (78). For its part, the Galeries Lafayette group owns three outlet stores located in the following outlet villages: One Nation located in Clayes-sous-Bois (78), Marque Avenue, located in La Séguinière (49), and Outlet Village, located in Nailloux (31).</w:t>
      </w:r>
    </w:p>
    <w:p>
      <w:r>
        <w:t>41. Since the parties' outlet stores are located in different cities, more than 20 minutes apart by car, the transaction does not result in any overlap of activities regarding the retail distribution of outlet products in physical sales points.</w:t>
      </w:r>
    </w:p>
    <w:p>
      <w:r>
        <w:t>On the market for online sales of outlet products</w:t>
        <w:br/>
        <w:t>42. In this market, Bazarchic and the Galeries Lafayette group are respectively present via the Bazarchic.com website and the "good deals" section of the Galeries Lafayette website. In 2015, Bazarchic generated a turnover of approximately […] euros via Bazarchic.com, and the Galeries Lafayette group generated a turnover of […] euros via the "good deals" section of its website.</w:t>
      </w:r>
    </w:p>
    <w:p>
      <w:r>
        <w:t>43. If one adopts a market definition that includes all players in online event sales active in France and all "good deals" sections or equivalent sections of French merchant sites, the combined market share of the parties will not exceed [0-5]%.</w:t>
      </w:r>
    </w:p>
    <w:p>
      <w:r>
        <w:t>44. In this market, the new entity will continue to face competition from, in particular, the three main players in online event sales, namely Vente-privée.com, ShowRoomPrivé.com, and Brandaley, as well as from all "good deals" sections or equivalent sections of French merchant sites.</w:t>
      </w:r>
    </w:p>
    <w:p>
      <w:r>
        <w:t>45. Furthermore, in the market segments corresponding to the different product families ((i) clothing products (clothes, underwear, and shoes), (ii) watchmaking, jewelry, and goldsmithing products, (iii) luxury perfumes and cosmetics, and finally, (iv) wines and spirits), the combined market share of the new entity will remain below [0-5]%.</w:t>
      </w:r>
    </w:p>
    <w:p>
      <w:r>
        <w:t>On the market for the sale of outlet products</w:t>
        <w:br/>
        <w:t>46. In the overall market composed of outlet stores and distance selling of outlet products, including all players in online event sales active in France, all "good deals" sections or equivalent sections of French merchant sites, and all non-internet distance distribution channels for outlet products, the combined market share of the parties will remain below [0-5]%.</w:t>
      </w:r>
    </w:p>
    <w:p>
      <w:r>
        <w:t>47. Furthermore, in the market segments corresponding to the different product families, the market share of the parties will remain below [0-5]%.</w:t>
      </w:r>
    </w:p>
    <w:p>
      <w:r>
        <w:t>48. Consequently, the transaction is not likely to harm competition in the markets for the distribution of outlet products through horizontal effects.</w:t>
      </w:r>
    </w:p>
    <w:p>
      <w:r>
        <w:t>2. ON THE MARKET FOR TRAVEL SERVICES</w:t>
        <w:br/>
        <w:t>49. The parties are active as tour operators and travel agencies concerning both domestic travel and travel to foreign destinations.</w:t>
      </w:r>
    </w:p>
    <w:p>
      <w:r>
        <w:t>50. In 2015, the Galeries Lafayette group generated a turnover of […] euros via its dedicated travel website (voyages.galerieslafayette.com) and its twelve physical agencies spread across the territory. Bazarchic, for its part, generated a turnover of […] euros via its dedicated travel website (mytravelchic.com) in 2015.</w:t>
      </w:r>
    </w:p>
    <w:p>
      <w:r>
        <w:t>51. In light of these turnover figures, the parties estimate that their combined market share will be below [5-10]% in the market for the design and sale of package tours, regardless of the segmentation considered.</w:t>
      </w:r>
    </w:p>
    <w:p>
      <w:r>
        <w:t>52. Upstream, in the markets for the purchase of air capacities departing from France and hotel nights by tour operators, the market share of the new entity will not exceed [5-10]%, regardless of the segmentation considered.</w:t>
      </w:r>
    </w:p>
    <w:p>
      <w:r>
        <w:t>53. Finally, in the market for travel agency services, the new entity will hold a market share of less than [5-10]%, regardless of the segmentation considered.</w:t>
      </w:r>
    </w:p>
    <w:p>
      <w:r>
        <w:t>54. Consequently, the transaction is not likely to harm competition in the markets for travel services through horizontal effects.</w:t>
      </w:r>
    </w:p>
    <w:p>
      <w:r>
        <w:t>B. VERTICAL EFFECTS</w:t>
        <w:br/>
        <w:t>55. A vertical concentration can restrict competition by making access to the markets in which the new entity will be active more difficult, potentially driving out competitors or penalizing them by increasing their costs. Two types of lock-in are distinguished. In the first case, the integrated company refuses to sell an input to its downstream competitors or provides this input at a high price, under unfavorable conditions, or at a degraded quality level ("input lock-in"). In the second case, the downstream branch of the integrated company refuses to buy or distribute the products of upstream manufacturers, thereby reducing their commercial outlets ("customer access lock-in"). The decision-making practice of competition authorities generally dismisses these lock-in risks when the market share of the company resulting from the transaction in the relevant markets does not exceed 30%.</w:t>
      </w:r>
    </w:p>
    <w:p>
      <w:r>
        <w:t>56. To date, there is no vertical link between the respective activities of the parties, as the Galeries Lafayette group sells all of its unsold products in its own outlet stores and in the "good deals" section of its website. Nevertheless, following the transaction, Bazarchic will have the opportunity to source unsold products from the Galeries Lafayette group in order to sell said products on its website and/or its physical outlet stores.</w:t>
      </w:r>
    </w:p>
    <w:p>
      <w:r>
        <w:t>57. However, the transaction does not appear likely to lead to a customer access lock-in for suppliers of unsold products, as the market share of the new entity in the market for the supply of outlet products will be below [5-10]%. Suppliers of outlet products will therefore have alternative commercial outlets.</w:t>
      </w:r>
    </w:p>
    <w:p>
      <w:r>
        <w:t>58. Consequently, the transaction is not likely to harm competition in the markets for outlet products through vertical effects.</w:t>
      </w:r>
    </w:p>
    <w:p>
      <w:r>
        <w:rPr>
          <w:b/>
        </w:rPr>
        <w:t>[Pages 10–10]</w:t>
      </w:r>
    </w:p>
    <w:p>
      <w:r>
        <w:t xml:space="preserve">DECIDES  </w:t>
        <w:br/>
        <w:t xml:space="preserve">Sole Article: The transaction notified under number 16-174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