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https://www.autoritedelaconcurrence.fr/fr/decision-de-controle-des-concentrations/relative-la-prise-de-controle-exclusive-de-la-societe-4</w:t>
      </w:r>
    </w:p>
    <w:p>
      <w:r>
        <w:t>Pages translated : 16</w:t>
      </w:r>
    </w:p>
    <w:p/>
    <w:p>
      <w:r>
        <w:rPr>
          <w:b/>
        </w:rPr>
        <w:t>[Pages 1–3]</w:t>
      </w:r>
    </w:p>
    <w:p>
      <w:r>
        <w:t xml:space="preserve">FRENCH REPUBLIC  </w:t>
        <w:br/>
        <w:t xml:space="preserve">Supplementary Decision No. 17-DCC-103 of July 3, 2017  </w:t>
        <w:br/>
        <w:t xml:space="preserve">regarding the exclusive control of Totalgaz SAS by  </w:t>
        <w:br/>
        <w:t xml:space="preserve">UGI Bordeaux Holding SAS  </w:t>
        <w:br/>
        <w:t xml:space="preserve">The Competition Authority,  </w:t>
        <w:br/>
        <w:t xml:space="preserve">Having regard to the decision of the Competition Authority No. 15-DCC-53 of May 15, 2015, regarding the exclusive control of Totalgaz SAS by UGI Bordeaux Holding SAS;  </w:t>
        <w:br/>
        <w:t xml:space="preserve">Having regard to the decision of the Council of State of July 6, 2016, ruling on the disputes brought by Compagnie des gaz de pétrole Primagaz (Primagaz) and Vitogaz France (Vitogaz);  </w:t>
        <w:br/>
        <w:t xml:space="preserve">Having regard to the supplementary notification file submitted in full to the concentrations service on April 11, 2017, regarding the exclusive control of Totalgaz SAS by UGI Bordeaux Holding SAS, formalized by a letter of intent dated July 2, 2014, and by a share transfer agreement dated November 11, 2014;  </w:t>
        <w:br/>
        <w:t xml:space="preserve">Having regard to Book IV of the Commercial Code relating to price freedom and competition, and in particular Articles L. 430-1 to L. 430-7;  </w:t>
        <w:br/>
        <w:t xml:space="preserve">Having regard to the supplementary commitments presented on May 2, June 8, and June 27, 2017, by the notifying party;  </w:t>
        <w:br/>
        <w:t xml:space="preserve">Having regard to the additional elements transmitted by the parties during the investigation;  </w:t>
        <w:br/>
        <w:t xml:space="preserve">Having regard to the other documents in the file;  </w:t>
        <w:br/>
        <w:t xml:space="preserve">Adopts the following decision:  </w:t>
        <w:br/>
        <w:t xml:space="preserve">I. The concerned companies and the operation  </w:t>
        <w:br/>
        <w:t xml:space="preserve">A. THE CONCERNED PARTIES  </w:t>
        <w:br/>
        <w:t xml:space="preserve">1. UGI Bordeaux Holding SAS (hereinafter "UGI Bordeaux Holding"), renamed UGI France SAS (hereinafter "UGI France") after the completion of the operation, is a 100% subsidiary of UGI Corporation, the parent company of the UGI group (hereinafter "UGI"), listed on the New York Stock Exchange. UGI is primarily active in the distribution of energy products such as electricity, natural gas, and liquefied petroleum gas (hereinafter "LPG") in the United States, China, and various European countries. UGI Bordeaux Holding is a holding company that holds UGI's stakes in several operational companies, including Antargaz SA (hereinafter "Antargaz"). Antargaz is primarily active in the distribution of packaged, bulk, and fuel LPG in France, Belgium, Luxembourg, and the Netherlands. Antargaz is the only UGI company active in France in the LPG sector, through its subsidiaries Gaz Énergie Distribution SA and Aquitaine Rhône Gaz SA.  </w:t>
        <w:br/>
        <w:t xml:space="preserve">2. Totalgaz SAS (hereinafter "Totalgaz") is a company whose capital is wholly owned by Total SA, the parent company of the Total group (hereinafter "Total"). It is active in France in the distribution of packaged, bulk, and fuel LPG through its direct and indirect subsidiaries Stodis, Stogaz, and Sogasud.  </w:t>
        <w:br/>
        <w:t xml:space="preserve">3. Following the completion of the operation, Totalgaz was renamed Finagaz SAS and then absorbed by Antargaz, renamed Antargaz Finagaz SA (hereinafter "Antargaz Finagaz").  </w:t>
        <w:br/>
        <w:t xml:space="preserve">B. THE OPERATION  </w:t>
        <w:br/>
        <w:t xml:space="preserve">4. The operation consists of the acquisition of the entire capital of Totalgaz by UGI Bordeaux Holding. As it results in the exclusive control of Totalgaz by UGI Bordeaux Holding, the notified operation constitutes a concentration operation within the meaning of Article L. 430-1 of the Commercial Code.  </w:t>
        <w:br/>
        <w:t xml:space="preserve">5. This operation falls under the jurisdiction of the European Union pursuant to Article 1(2) of Council Regulation (EC) No. 139/2004 on the control of concentrations between undertakings.  </w:t>
        <w:br/>
        <w:t xml:space="preserve">6. However, on August 5, 2014, UGI Bordeaux Holding requested the European Commission, by means of a reasoned memorandum, to refer the operation to the Competition Authority, pursuant to Article 4(4) of Council Regulation (EC) No. 139/2004. By decision No. COMP/M.7350 dated September 9, 2015, the European Commission considered that the conditions for referral were met. The acquisition of Totalgaz by UGI Bordeaux Holding is therefore subject, pursuant to point IV of Article L. 430-2 of the Commercial Code, to French concentration control. The first notification was sent to the Competition Authority on January 23, 2015.  </w:t>
        <w:br/>
        <w:t xml:space="preserve">II. The authorization of the operation by decision of the Competition Authority No. 15-DCC-53 of May 15, 2015  </w:t>
        <w:br/>
        <w:t xml:space="preserve">A. AUTHORIZATION OF THE OPERATION SUBJECT TO COMMITMENTS  </w:t>
        <w:br/>
        <w:t xml:space="preserve">7. By decision No. 15-DCC-53 dated May 15, 2015, the Competition Authority authorized the execution of the operation, subject to UGI France's compliance with seven commitments, numbered 1 to 7 and detailed in the letter of commitments dated May 13, 2015, attached to the said decision.  </w:t>
        <w:br/>
        <w:t xml:space="preserve">8. The commitments made by UGI are primarily structural commitments for the partial or total divestiture of several LPG storage depots. UGI has also made subsidiary behavioral commitments to address the potential absence of a buyer for one or more depots targeted by the main divestiture commitment.  </w:t>
        <w:br/>
        <w:t xml:space="preserve">B. EXECUTION OF THE DECISION OF THE COMPETITION AUTHORITY NO. 15-DCC-53 OF MAY 15, 2015  </w:t>
        <w:br/>
        <w:t xml:space="preserve">9. Pursuant to decision No. 15-DCC-53, the operation was completed on May 29, 2015, by the signing between Total Marketing Services and UGI France of a reiterative deed of share transfer and the issuance of a corresponding movement order on the same day, concerning the transfer of assets to the benefit of UGI France.  </w:t>
        <w:br/>
        <w:t xml:space="preserve">10. The commitments began to be executed after the completion of the operation, according to the modalities provided for this purpose in the letter of commitments. The representative responsible for monitoring the execution of the commitments and the divestiture was approved by the Authority on July 1, 2015. To date, the structural commitments for the divestiture of depots have been largely fulfilled, and the subsidiary behavioral commitments are in the process of execution.  </w:t>
        <w:br/>
        <w:t xml:space="preserve">C. APPEALS AGAINST THE DECISION OF THE COMPETITION AUTHORITY NO. 15-DCC-53 OF MAY 15, 2015  </w:t>
        <w:br/>
        <w:t xml:space="preserve">11. Primagaz, on the one hand, and Vitogaz, on the other hand, filed an appeal for annulment of decision No. 15-DCC-53 with the Council of State, accompanied by a request for interim relief for the suspension of the execution of the decision, respectively on May 23, 2015, and June 5, 2015.  </w:t>
        <w:br/>
        <w:t xml:space="preserve">12. By order of July 9, 2015, the judge of interim relief of the Council of State rejected the requests for interim relief.  </w:t>
        <w:br/>
        <w:t xml:space="preserve">13. By judgment of July 5, 2016, the Council of State, ruling on the merits, concluded, following its analysis, to the partial annulment of decision No. 15-DCC-53 "insofar as it does not include an analysis of the effects on the small bulk LPG distribution market of the capacity of the entity resulting from the concentration operation to withdraw from the network of exchange contracts for volumes of LPG in the local markets in which either UGI or Totalgaz held a dominant position before the concentration operation and insofar as it does not include sufficient commitments to prevent the anti-competitive effect of the concentration operation on the system of exchange contracts for volumes of LPG in the area surrounding the La Garde depot and in the areas mentioned in point 17 of this decision in which UGI also has a relay depot or a filling center. This annulment includes the obligations set out in point 55 of the reasons for this decision."1  </w:t>
        <w:br/>
        <w:t>1 CE, July 6, 2016, Article 1.</w:t>
      </w:r>
    </w:p>
    <w:p>
      <w:r>
        <w:rPr>
          <w:b/>
        </w:rPr>
        <w:t>[Pages 4–6]</w:t>
      </w:r>
    </w:p>
    <w:p>
      <w:r>
        <w:t>14. In point 55 of the grounds for its decision, the Council of State indicates that "the Competition Authority is required, on the one hand, to extend its analysis of the effects on the small bulk LPG distribution market of the capacity of the entity resulting from the concentration operation to withdraw from the network of volume exchange contracts for LPG in the local markets where either of the companies UGI and Totalgaz held a dominant position prior to the concentration operation and, on the other hand, to exercise its power to subordinate its authorization to the effective implementation of commitments made by the notifying parties or, after conducting a thorough examination of the operation, to compliance with prescriptions or injunctions to the extent necessary to maintain sufficient competition in the small bulk LPG distribution market in the area surrounding the La Garde depot and in the areas mentioned in point 17 where the company UGI also has a relay depot or filling center."</w:t>
      </w:r>
    </w:p>
    <w:p>
      <w:r>
        <w:t>D. THE SUPPLEMENTARY NOTIFICATION OF THE OPERATION FOLLOWING THE PARTIAL CANCELLATION OF THE COMPETITION AUTHORITY DECISION NO. 15-DCC-53 OF MAY 15, 2015</w:t>
      </w:r>
    </w:p>
    <w:p>
      <w:r>
        <w:t>15. The supplementary notification of the operation, sent by UGI France to the Competition Authority on April 11, 2017, exclusively concerns the points of the decision that were subject to the partial cancellation pronounced by the judgment of the Council of State, namely:</w:t>
        <w:br/>
        <w:t>- the analysis of the effects on the small bulk LPG distribution market of the capacity of the entity resulting from the concentration operation to withdraw from the network of volume exchange contracts for LPG in the local markets where either of the companies UGI and Totalgaz held a dominant position prior to the concentration operation;</w:t>
        <w:br/>
        <w:t>- the insufficiency of commitments to prevent the potential anti-competitive effect of the concentration operation on the system of volume exchange contracts for LPG in the area surrounding the La Garde depot and in the areas mentioned in point 17 of the judgment where the company UGI also has a relay depot or filling center.</w:t>
      </w:r>
    </w:p>
    <w:p>
      <w:r>
        <w:t>16. These two points will be developed below (see Title IV).</w:t>
      </w:r>
    </w:p>
    <w:p>
      <w:r>
        <w:t>17. It should be specified that the Council of State did not annul the decision in its entirety, which therefore remains valid in all its aspects, including the commitments, subject to the remarks of the Council of State regarding commitments no. 5 and 7.</w:t>
      </w:r>
    </w:p>
    <w:p>
      <w:r>
        <w:t>2 Point 17 of the judgment refers to the eleven areas surrounding the relay depots or filling centers of Arleux (Nord), Boussens (Haute-Garonne), Chanzeaux (Maine-et-Loire), Cobogal (Gironde), Cramans (Jura), Feysin (Rhône), Lacq (Pyrénées-Atlantiques), La Motte (Var), Le Merlerault (Orne), Niort (Deux-Sèvres), and Vic-en-Bigorre (Hautes-Pyrénées).</w:t>
      </w:r>
    </w:p>
    <w:p>
      <w:r>
        <w:t>III. Definition of Relevant Markets</w:t>
      </w:r>
    </w:p>
    <w:p>
      <w:r>
        <w:t>18. In light of the terms of the judgment of the Council of State, only the market for the distribution of LPG sold in small bulk is concerned by the partial cancellation pronounced on July 6, 2016. Consequently, only this market will be addressed again in this supplementary decision.</w:t>
      </w:r>
    </w:p>
    <w:p>
      <w:r>
        <w:t>A. PRODUCT MARKETS</w:t>
      </w:r>
    </w:p>
    <w:p>
      <w:r>
        <w:t>19. The Authority, in its decision no. 15-DCC-53, in line with French and community decision-making practice, recognized the existence of a market "for LPG sold in bulk, primarily for domestic use (small bulk)," distinct from a market for "LPG sold in bulk primarily for professional use (large and medium bulk)."</w:t>
      </w:r>
    </w:p>
    <w:p>
      <w:r>
        <w:t>20. The Council of State, in its judgment of July 6, 2016, did not challenge this segmentation.</w:t>
      </w:r>
    </w:p>
    <w:p>
      <w:r>
        <w:t>21. It should also be specified that this segmentation has not evolved since the publication of decision no. 15-DCC-53.</w:t>
      </w:r>
    </w:p>
    <w:p>
      <w:r>
        <w:t>22. The relevant product market is therefore that of the distribution of LPG in small bulk.</w:t>
      </w:r>
    </w:p>
    <w:p>
      <w:r>
        <w:t>B. GEOGRAPHICAL MARKETS</w:t>
      </w:r>
    </w:p>
    <w:p>
      <w:r>
        <w:t>23. The Competition Authority, in its decision no. 15-DCC-53, recalled that: "the Commission analyzed the small bulk market at the national level. However, it also noted that LPG is transported over short distances, mentioning delivery areas from storage depots of around 200 to 300 kilometers. The notifying party considers that the small bulk market has a national dimension."</w:t>
      </w:r>
    </w:p>
    <w:p>
      <w:r>
        <w:t>24. In areas where distributors do not have relay depots or filling centers, they generally resort to volume exchanges with their competitors present in the area. These exchanges are subject to contracts negotiated annually, based on principles of reciprocity and balance. This mechanism allows a distributor to source from another operator and vice versa. The exchanges aim to reduce transportation costs by allowing operators to cover areas where they do not have relay depots or filling centers and thus complete their territorial network. Without such a mechanism, operators would not be able to serve certain areas where they do not have facilities. However, this mechanism may be called into question by the operation in that, following the operation, UGI will have secondary storage infrastructures covering the entire territory and will therefore have the ability to withdraw from the exchange contract system.</w:t>
      </w:r>
    </w:p>
    <w:p>
      <w:r>
        <w:t>25. The Competition Authority therefore concluded that due to "the local and sporadic nature of demand, the limited size of delivery areas for trucks, and the decrease in incentives for the new entity to conclude exchange contracts following the operation, it is therefore appropriate to analyze the effects of the operation on the small bulk market at the local level."</w:t>
      </w:r>
    </w:p>
    <w:p>
      <w:r>
        <w:t>26. The Council of State, in its judgment of July 6, 2016, noting that: "the Competition Authority found that, in the small bulk distribution market, LPG is delivered by small tanker trucks, from filling centers or relay depots, within a radius of 115 km to 150 km," held that: "the small bulk distribution market is therefore not of national dimension, but local."</w:t>
      </w:r>
    </w:p>
    <w:p>
      <w:r>
        <w:t>27. In application of the jurisprudence of the Council of State, the small bulk LPG distribution market thus has a local dimension.</w:t>
      </w:r>
    </w:p>
    <w:p>
      <w:r>
        <w:t>28. It should also be specified that the geographical segmentation of the market has not evolved since the reading of the judgment of the Council of State of July 6, 2016.</w:t>
      </w:r>
    </w:p>
    <w:p>
      <w:r>
        <w:t>29. The competitive analysis of the small bulk market will therefore be conducted on the local markets for the distribution of LPG in small bulk.</w:t>
      </w:r>
    </w:p>
    <w:p>
      <w:r>
        <w:t>IV. Competitive Analysis</w:t>
      </w:r>
    </w:p>
    <w:p>
      <w:r>
        <w:t>A. SCOPE OF THE SUPPLEMENTARY COMPETITIVE ANALYSIS</w:t>
      </w:r>
    </w:p>
    <w:p>
      <w:r>
        <w:t>30. In its judgment of July 6, 2016, the Council of State reproached the Competition Authority for having limited its analysis of the effects on the small bulk distribution market of the ability of the entity resulting from the concentration operation to withdraw from the network of volume exchange contracts to the eleven local markets where its dominant position resulted from the overlap of activities between depots that were previously controlled separately by the companies UGI and Totalgaz.</w:t>
      </w:r>
    </w:p>
    <w:p>
      <w:r>
        <w:t>31. Indeed, the Council of State notes that "the Competition Authority did not examine the effects on the small bulk distribution market of the ability of the entity resulting from the concentration operation to withdraw from this network of exchange contracts in the local markets where either of the companies UGI and Totalgaz already held a dominant position, but was incentivized not to abuse it due to the interest it had in concluding exchange contracts in other areas of the territory."</w:t>
      </w:r>
    </w:p>
    <w:p>
      <w:r>
        <w:t>32. According to the Council of State, this omission constitutes an error of assessment in the competitive analysis of the small bulk LPG distribution market justifying the annulment of decision no. 15-DCC-53 on this point.</w:t>
      </w:r>
    </w:p>
    <w:p>
      <w:r>
        <w:t>33. The Council of State therefore instructs the Competition Authority to extend its analysis of the effects on the small bulk LPG distribution market to the capacity of the entity resulting from the concentration operation to withdraw from the network of volume exchange contracts.</w:t>
      </w:r>
    </w:p>
    <w:p>
      <w:r>
        <w:rPr>
          <w:b/>
        </w:rPr>
        <w:t>[Pages 7–9]</w:t>
      </w:r>
    </w:p>
    <w:p>
      <w:r>
        <w:t>to the local markets in which either of the companies UGI and Totalgaz held a dominant position prior to the concentration operation.9</w:t>
      </w:r>
    </w:p>
    <w:p>
      <w:r>
        <w:t>34. Conversely, regarding the second point of annulment of decision no. 16-DCC-53, relating to the insufficiency of certain commitments to prevent the potential anti-competitive effect of the operation on the areas where the operation leads to an overlap of activities of the parties, the Council of State does not challenge the competitive analysis conducted by the Authority concerning these areas but only the content of the commitments made by UGI.</w:t>
      </w:r>
    </w:p>
    <w:p>
      <w:r>
        <w:t>B. POSITION OF THE PARTIES IN THE LPG DISTRIBUTION MARKET SOLD IN SMALL BULK AT THE LOCAL LEVEL</w:t>
      </w:r>
    </w:p>
    <w:p>
      <w:r>
        <w:t>1. DETERMINATION OF THE DOMINANT POSITION OF EITHER PARTY</w:t>
      </w:r>
    </w:p>
    <w:p>
      <w:r>
        <w:t>35. The analysis of the positions of the parties is made with reference to the terms of the Council of State's judgment of July 6, 2016, which requires the analysis, in this decision, of the "local markets in which either of the companies UGI or Totalgaz already held a dominant position, but was incentivized not to abuse it due to the interest it had in concluding swap contracts in other areas of the territory."10</w:t>
      </w:r>
    </w:p>
    <w:p>
      <w:r>
        <w:t>36. The identification of the local areas in question must be subject to a supplementary analysis that involves the prior definition of the dominant position of either party.</w:t>
      </w:r>
    </w:p>
    <w:p>
      <w:r>
        <w:t>37. The Commission, in its guidelines on the assessment of horizontal concentrations, recalls that: "according to consistent case law, a particularly high market share – 50% and above – may in itself constitute evidence of the existence of a dominant position in the market."11</w:t>
      </w:r>
    </w:p>
    <w:p>
      <w:r>
        <w:t>38. Similarly, in its guidelines, the Competition Authority emphasizes that: "the existence of a large market share is an important element in assessing a company's market power. High post-operation market shares, of around 50% and above, may suggest the existence of significant market power."12</w:t>
      </w:r>
    </w:p>
    <w:p>
      <w:r>
        <w:t>39. In the context of decision no. 15-DCC-53, it follows from the analysis conducted by the Competition Authority and not challenged by the Council of State regarding the overlapping areas between the depots of Antargaz and Totalgaz that were considered as "areas in which the operation is not likely to harm competition," the local areas in which competitors were present and the parties held a market share of less than 50%.</w:t>
      </w:r>
    </w:p>
    <w:p>
      <w:r>
        <w:t>40. In conclusion, for the purposes of this analysis, the local markets in which either of the companies UGI or Totalgaz already held a dominant position correspond to the areas in which UGI or Totalgaz hold capacity shares equal to or greater than 50%, identified according to the actual footprint method adopted by the Authority.</w:t>
      </w:r>
    </w:p>
    <w:p>
      <w:r>
        <w:t xml:space="preserve">9 CE, July 6, 2016, paragraph 55.  </w:t>
        <w:br/>
        <w:t xml:space="preserve">10 CE, July 6, 2016, paragraph 19.  </w:t>
        <w:br/>
        <w:t xml:space="preserve">11 Commission guidelines, paragraph 17.  </w:t>
        <w:br/>
        <w:t>12 Guidelines on the control of concentrations of the Competition Authority, paragraph 397.</w:t>
      </w:r>
    </w:p>
    <w:p>
      <w:r>
        <w:t>2. METHOD USED FOR CALCULATING MARKET SHARES</w:t>
      </w:r>
    </w:p>
    <w:p>
      <w:r>
        <w:t>41. In accordance with decision no. 15-DCC-53, the positions of the parties are expressed in capacity shares, calculated according to the actual footprint method as described in paragraphs 89 and following of said decision.</w:t>
      </w:r>
    </w:p>
    <w:p>
      <w:r>
        <w:t>3. PRESENTATION OF THE LOCAL AREAS WHERE EITHER PARTY ALREADY HELD A DOMINANT POSITION PRIOR TO THE OPERATION</w:t>
      </w:r>
    </w:p>
    <w:p>
      <w:r>
        <w:t>42. These are the areas located around the following depots:</w:t>
      </w:r>
    </w:p>
    <w:p>
      <w:r>
        <w:t>Antargaz delivery areas where Antargaz's capacity share is equal to or greater than 50%.</w:t>
        <w:br/>
        <w:t>Depot Capacity share (%)</w:t>
        <w:br/>
        <w:t>Bourgogne (90) [&gt;90]</w:t>
        <w:br/>
        <w:t>Boussens (31) [60-70]</w:t>
        <w:br/>
        <w:t>Calmont (12) [70-80]</w:t>
        <w:br/>
        <w:t>Cournon (63) [60-70]</w:t>
        <w:br/>
        <w:t>Domène (38) [70-80]</w:t>
        <w:br/>
        <w:t>Lacq (64) [50-60]</w:t>
        <w:br/>
        <w:t>Loriol (26) [&gt;90]</w:t>
        <w:br/>
        <w:t>Port-la-Nouvelle (11) [80-90]</w:t>
        <w:br/>
        <w:t>Vern-sur-Seiche (56) [80-90]</w:t>
        <w:br/>
        <w:t>Ajaccio (Corsica) [&gt;90]</w:t>
      </w:r>
    </w:p>
    <w:p>
      <w:r>
        <w:t>Totalgaz delivery areas where Totalgaz's capacity share is equal to or greater than 50%</w:t>
        <w:br/>
        <w:t>Depot Capacity share (%)</w:t>
        <w:br/>
        <w:t>Castels (24) [&gt;90]</w:t>
        <w:br/>
        <w:t>Frontenex (73) [&gt;90]</w:t>
        <w:br/>
        <w:t>Gimouille (58) [90-100]</w:t>
        <w:br/>
        <w:t>Golbey (88) [&gt;90]</w:t>
        <w:br/>
        <w:t>Hébécrevon [50-60]</w:t>
        <w:br/>
        <w:t>Plan de Vitrolles (05) [&gt;90]</w:t>
        <w:br/>
        <w:t>Saint-Dizier (52) [&gt;90]</w:t>
        <w:br/>
        <w:t>Uzel (22) [90-100]</w:t>
      </w:r>
    </w:p>
    <w:p>
      <w:r>
        <w:t>43. Conversely, the following areas can be excluded from the scope of the analysis, where the capacity share of the parties is less than 50%.</w:t>
      </w:r>
    </w:p>
    <w:p>
      <w:r>
        <w:t>Antargaz delivery areas where Antargaz's capacity share is less than 50%</w:t>
        <w:br/>
        <w:t>Depot Capacity share (%)</w:t>
        <w:br/>
        <w:t>Donges (44) [30-40]</w:t>
        <w:br/>
        <w:t>Genlis (21) [0-5]</w:t>
        <w:br/>
        <w:t>Grimeux (16) [20-30]</w:t>
        <w:br/>
        <w:t>Herrlischeim (68) [40-50]</w:t>
        <w:br/>
        <w:t>Nérac (47) [5-10]</w:t>
        <w:br/>
        <w:t>Quéven (56) [0-5]</w:t>
        <w:br/>
        <w:t>Ris-Orangis (91) [20-30]</w:t>
      </w:r>
    </w:p>
    <w:p>
      <w:r>
        <w:t>Totalgaz delivery areas where Totalgaz's capacity share is less than 50%</w:t>
        <w:br/>
        <w:t>Depot Capacity share (%)</w:t>
        <w:br/>
        <w:t>Abbeville (80) [20-30]</w:t>
        <w:br/>
        <w:t>Fenouillet (31) [20-30]</w:t>
        <w:br/>
        <w:t>Hauconcourt (57) [30-40]</w:t>
        <w:br/>
        <w:t>Mâcon (68) [0-5]</w:t>
        <w:br/>
        <w:t>Ressons-sur-Matz (60) [40-50]</w:t>
        <w:br/>
        <w:t>Saint-Gervasy (30) [40-50]</w:t>
        <w:br/>
        <w:t>Saint-Marcel (27) [5-10]</w:t>
      </w:r>
    </w:p>
    <w:p>
      <w:r>
        <w:t>C. ON UGI FRANCE'S ABILITY TO WITHDRAW FROM THE NETWORK OF EXCHANGE CONTRACTS IN THESE AREAS</w:t>
      </w:r>
    </w:p>
    <w:p>
      <w:r>
        <w:t>44. For the record, since none of the distributors have secondary storage capacities covering the entire territory, they resort to swap contracts for LPG volumes, which, depending on the areas, represent between 15% and 45% of the total volumes of LPG marketed.</w:t>
      </w:r>
    </w:p>
    <w:p>
      <w:r>
        <w:rPr>
          <w:b/>
        </w:rPr>
        <w:t>[Pages 10–12]</w:t>
      </w:r>
    </w:p>
    <w:p>
      <w:r>
        <w:t>45. Thus, it is crucial for maintaining sufficient competition in each local market that any distributor lacking secondary storage capacity in a market can turn to a competitor with such storage capacity and who has an interest in entering into a swap contract for LPG volumes with them.</w:t>
      </w:r>
    </w:p>
    <w:p>
      <w:r>
        <w:t>46. However, in decision no. 15-DCC-53, the Competition Authority noted that the present operation will introduce an asymmetry between the logistical infrastructures of the new entity and those of its competitors, as it will have secondary storage infrastructures covering the entire territory. Furthermore, the overlaps in activities between the relay depots or filling centers controlled by UGI and Totalgaz will lead to the existence of a dominant position for the new entity in terms of storage in the eleven areas surrounding the relay depots or filling centers of Arleux (Nord), Boussens (Haute-Garonne), Chanzeaux (Maine-et-Loire), Cobogal (Gironde), Cramans (Jura), Feyzin (Rhône), Lacq (Pyrénées-Atlantiques), La Motte (Var), Le Merlerault (Orne), Niort (Deux-Sèvres), and Vic-en-Bigorre (Hautes-Pyrénées). The Authority deduced from these findings that UGI will, following the operation, have a sufficiently dense network of storage depots to be able to dispense with the mechanism of swap contracts. UGI will thus be able to refuse to enter into swap contracts with its competitors, which, given UGI's dominant position in these areas, would deprive its competitors of access to secondary storage capacities in these eleven areas, extending their delivery distances and, consequently, their LPG distribution costs.</w:t>
      </w:r>
    </w:p>
    <w:p>
      <w:r>
        <w:t>47. It follows from the application of the reasoning of the Council of State, the notification, and the supplementary investigation that following the operation, the anti-competitive effect induced by the possible ability of the new entity to withdraw from the network of swap contracts for LPG volumes will be felt not only in the eleven local markets where its dominant position has resulted from the overlap of activities between depots that were previously controlled separately by UGI and Totalgaz, but also in the local markets where either of the companies UGI and Totalgaz already had a dominant position before the operation. Indeed, in these areas, prior to the operation, the parties to the operation were incentivized not to abuse their ability to withdraw from the network due to their interest in entering into swap contracts in other areas of the territory. However, following the operation, in these local markets, UGI will also have the ability to refuse to enter into swap contracts with its competitors and to deprive them of access to secondary storage capacities. This ability will have a significant impact on competition by reducing, or even depriving competing distributors of the capacity to deliver to their customers in these areas, due to lack of access to the parties' depots.</w:t>
      </w:r>
    </w:p>
    <w:p>
      <w:r>
        <w:t>V. The Commitments</w:t>
      </w:r>
    </w:p>
    <w:p>
      <w:r>
        <w:t>48. The notifying party presented an initial series of commitments on April 26, 2017, which was submitted to competing LPG distributors during a market test. The content of all the commitments was then the subject of discussions, concerning both their substance and their form, before being reformulated in alternative versions on June 6, 2017, and then on June 8, 2017. This last version was subject to a second market test with all concerned parties. Following this market test, new discussions were initiated with the notifying party, which submitted a final version of its commitments to the Authority on June 27, 2017. It is in this final version, which addresses the concerns arising from the competitive analysis, that they are presented below.</w:t>
      </w:r>
    </w:p>
    <w:p>
      <w:r>
        <w:t>A. THE PRINCIPLES FOR ASSESSING THE PROPOSED MEASURES</w:t>
      </w:r>
    </w:p>
    <w:p>
      <w:r>
        <w:t>49. The measures intended to remedy the anti-competitive effects resulting from the notified operation must comply with the general criteria defined by decision-making practice and jurisprudence in order to be deemed capable of ensuring sufficient competition, in accordance with the provisions of Article L. 430-7 of the Commercial Code.</w:t>
      </w:r>
    </w:p>
    <w:p>
      <w:r>
        <w:t>50. As specified in the Authority's guidelines regarding the control of concentrations, these measures must be effective in fully remedying the identified anti-competitive effects. To this end, their implementation must not raise any doubts, which implies that they must be drafted with sufficient precision and that the operational modalities for their realization must be sufficiently detailed. Their implementation must also be swift, as competition is not preserved as long as they are not realized. They must also be controllable. Finally, the Authority must ensure that the corrective measures are neutral, in the sense that they must aim to protect competition as such and not specific competitors, and proportionate, in that they must be necessary to maintain or restore sufficient competition.</w:t>
      </w:r>
    </w:p>
    <w:p>
      <w:r>
        <w:t>51. Furthermore, in order to remedy the harms resulting from a concentration operation, the Authority generally seeks primarily structural measures, which aim to ensure competitive market structures through divestitures of activities or certain assets to an appropriate acquirer capable of exercising real competition, or the elimination of capital links between competitors. However, to the extent that, in order to satisfy the neutrality objective imposed on the Authority, behavioral remedies may appear more appropriate in this case to compensate for certain anti-competitive effects resulting from the operation, it is necessary to define such remedies in a way that ensures their effectiveness and controllability. It is particularly imperative that the effectiveness of the measures prescribed in this decision does not depend solely on the diligence and goodwill of the notifying parties.</w:t>
      </w:r>
    </w:p>
    <w:p>
      <w:r>
        <w:t>B. ON THE APPROPRIATENESS OF THE PROPOSED COMMITMENTS</w:t>
      </w:r>
    </w:p>
    <w:p>
      <w:r>
        <w:t>52. The additional commitments proposed by the parties aim:</w:t>
        <w:br/>
        <w:t>- on the one hand, to prevent the anti-competitive effects related to UGI's ability, following the operation, to withdraw from the network of swap contracts in the local markets where either of the parties to the operation had a dominant position before the operation (Commitment No. 8);</w:t>
        <w:br/>
        <w:t>- on the other hand, to address the insufficiency of the commitments made by UGI on May 13, 2015, within the framework of decision no. 15-DCC-53 to prevent the anti-competitive effect of the concentration operation on the system of swap contracts for LPG volumes in the area surrounding the La Garde depot and in the eleven areas where the new entity will hold a dominant position resulting from overlaps in the activities of the parties (Commitment No. 9).</w:t>
      </w:r>
    </w:p>
    <w:p>
      <w:r>
        <w:t>53. These commitments complement the commitments made by UGI on May 13, 2015, within the framework of decision no. 15-DCC-53. Consequently, their numbering follows that of the commitments of May 13, 2015.</w:t>
      </w:r>
    </w:p>
    <w:p>
      <w:r>
        <w:t>1. MEASURES RELATING TO THE CONDITIONS FOR DISTRIBUTING LPG IN SMALL BULK IN THE NEWLY IDENTIFIED AREAS (COMMITMENT NO. 8)</w:t>
      </w:r>
    </w:p>
    <w:p>
      <w:r>
        <w:t>54. Regarding the concern about the ability of the entity resulting from the concentration operation to withdraw from the network of swap contracts for LPG volumes in the local markets where either of the companies UGI and Totalgaz had a dominant position before the concentration operation, UGI commits to offer swap contracts to operators active in the LPG distribution markets for their own needs in the eighteen (18) areas surrounding the following depots:</w:t>
        <w:br/>
        <w:t>- Ajaccio;</w:t>
        <w:br/>
        <w:t>- Bourgogne;</w:t>
        <w:br/>
        <w:t>- Boussens;</w:t>
        <w:br/>
        <w:t>- Calmont;</w:t>
        <w:br/>
        <w:t>- Cournon-d’Auvergne;</w:t>
        <w:br/>
        <w:t>- Domène;</w:t>
        <w:br/>
        <w:t>- Lacq;</w:t>
        <w:br/>
        <w:t>- Loriol-sur-Drôme;</w:t>
        <w:br/>
        <w:t>- Port-la-Nouvelle;</w:t>
        <w:br/>
        <w:t>- Vern-sur-Seiche;</w:t>
        <w:br/>
        <w:t>- Castels;</w:t>
        <w:br/>
        <w:t>- Frontenex;</w:t>
        <w:br/>
        <w:t>- Grimouille;</w:t>
        <w:br/>
        <w:t>- Golbey;</w:t>
        <w:br/>
        <w:t>- Hébécrevon;</w:t>
        <w:br/>
        <w:t>- Plan de Vitrolles;</w:t>
        <w:br/>
        <w:t>- Saint Dizier;</w:t>
        <w:br/>
        <w:t>- Uzel.</w:t>
      </w:r>
    </w:p>
    <w:p>
      <w:r>
        <w:t>55. UGI also commits to transfer these contracts, if necessary in the event of administrative or economic closure of the concerned depot, to the nearest depot.</w:t>
      </w:r>
    </w:p>
    <w:p>
      <w:r>
        <w:t>56. Regarding the practical modalities, in the context of concluding these contracts, UGI commits not to impose any limitation on the volumes of LPG unless the concerned depot</w:t>
      </w:r>
    </w:p>
    <w:p>
      <w:r>
        <w:rPr>
          <w:b/>
        </w:rPr>
        <w:t>[Pages 13–15]</w:t>
      </w:r>
    </w:p>
    <w:p>
      <w:r>
        <w:t>56. Regarding the practical arrangements, in the context of concluding these contracts, UGI undertakes not to impose any limitation on the volumes of LPG unless the concerned depot is subject to an administrative and/or regulatory limitation or restriction of use. In this case, UGI commits to distribute the monthly available capacity of the said depot strictly equally between Antargaz Finagaz and each of the other operators active in the LPG distribution markets and, if the available capacity of the said depot does not meet the needs of all the other LPG volume operators, UGI commits to equally supplement the residual demand of each requester with a supply from the nearest depot.</w:t>
      </w:r>
    </w:p>
    <w:p>
      <w:r>
        <w:t>57. Furthermore, UGI commits to charge the costs related to the exchange operation at actual expenses and to propose, if applicable, to its contracting partners to return the product to primary depots in which they are shareholders or have access to LPG through a supply contract with a third party.</w:t>
      </w:r>
    </w:p>
    <w:p>
      <w:r>
        <w:t>2. MEASURES AIMED AT COMPLETING COMMITMENTS NO. 5 AND NO. 7 (COMMITMENT NO. 9)</w:t>
      </w:r>
    </w:p>
    <w:p>
      <w:r>
        <w:t>58. Regarding the insufficiency of commitments no. 5 and 7 to prevent the anti-competitive effect of the concentration operation on the system of LPG volume exchange contracts in the area surrounding the La Garde depot and in the eleven areas affected by the operation referred to by the Council of State, UGI commits to offer exchange contracts to operators active in the LPG distribution markets for their own needs in these areas and to transfer them, if applicable in the event of administrative or economic closure of the concerned depot, to the nearest depot.</w:t>
      </w:r>
    </w:p>
    <w:p>
      <w:r>
        <w:t>59. The depots concerned by this commitment are, on the one hand, the La Garde and La Motte depots, located in the local area surrounding the La Garde depot and, on the other hand, the Niort depot. The other depots located in the eleven areas affected by the operation are not covered by the commitments either because they have been subject to a total or partial divestiture under commitment no. 5 and are not covered by commitment no. 7 (Cramans, Vic-en-Bigorre, Cobogal, Saint-Cyprien), or because they are located in the same areas as certain divested depots and are now included in the new overlapping areas and thus fall within the scope of commitment no. 8 (Boussens and Lacq), or because they are already included in the scope of commitment no. 9 under its first branch (La Motte), or because they did not fall within the scope of commitment no. 7 as they were not subject to ongoing exchange contracts at the date of decision no. 15-DCC-53 (Arleux, Chanzeaux, Saint-Georges-Buttavent).</w:t>
      </w:r>
    </w:p>
    <w:p>
      <w:r>
        <w:t>60. Like commitment no. 8, in the context of concluding these contracts, UGI commits not to impose any limitation on the volumes of LPG unless the concerned depot is subject to an administrative and/or regulatory limitation or restriction of use. In this case, UGI commits to distribute the monthly available capacity of the said depot strictly equally between Antargaz Finagaz and each of the other operators active in the LPG distribution markets and, if the available capacity of the said depot does not meet the needs of all the other LPG volume operators, UGI commits to equally supplement the residual demand of each requester with a supply from the nearest depot.</w:t>
      </w:r>
    </w:p>
    <w:p>
      <w:r>
        <w:t>61. Furthermore, UGI commits to charge the costs related to the exchange operation at actual expenses and to propose to its contracting partners, if applicable, to return the product to primary depots in which they are shareholders or have access to LPG through a supply contract with a third party.</w:t>
      </w:r>
    </w:p>
    <w:p>
      <w:r>
        <w:t>62. Finally, it should be emphasized that the execution of the complementary commitments no. 8 and no. 9 by UGI will be under the control of the representative.</w:t>
      </w:r>
    </w:p>
    <w:p>
      <w:r>
        <w:t>63. Several operators interviewed in the context of the market test argue that commitment no. 8, in that it only provides for a commitment to propose exchange contracts concerning the depots located in the affected areas and not the divestiture of certain of these depots, is insufficient to address competition concerns. These operators criticize the fact that the current commitments do not replicate the structure of the initial commitments made under decision no. 15-DCC-53, namely primarily, a commitment to total or partial divestiture of certain depots and, secondarily, a commitment to maintain exchange contracts for depots that could not be divested. However, it should first be noted that the depots that were subject to a commitment of total or partial divestiture under the initial commitments dated May 13, 2015, are located in areas where the parties' activities overlapped and where, consequently, the operation resulted in an increase in the market share of the new entity. In contrast, the areas concerned by commitment no. 8 are those where the parties' activities did not overlap but where one or the other of the parties held a dominant position before the operation. Therefore, the operation did not lead to an increase in the market share of the new entity in these areas but only an increase in the incentive to rely on this dominant position.</w:t>
      </w:r>
    </w:p>
    <w:p>
      <w:r>
        <w:t>64. The commitment to divest certain depots was therefore limited to depots located in areas where the operation resulted in an increase in the market shares of the new entity and aimed to prevent the operation from granting the new entity a dominant position in these areas.</w:t>
      </w:r>
    </w:p>
    <w:p>
      <w:r>
        <w:t>65. In accordance with the terms of the Council of State's ruling, commitment no. 8 aims to maintain the system of exchange contracts in areas where one or the other of the parties held a dominant position before the operation but where the operation did not lead to an increase in the market shares of the new entity. A commitment to divest certain depots belonging to the parties located in these areas therefore appears disproportionate in light of the nature of the anti-competitive effects it aims to remedy.</w:t>
      </w:r>
    </w:p>
    <w:p>
      <w:r>
        <w:t>66. Furthermore, it should be emphasized that the Council of State did not challenge the structure of the initial commitments made by UGI under decision no. 15-DCC-53, which consisted of a primary commitment to total or partial divestiture of certain depots and a subsidiary commitment to maintain exchange contracts for depots that could not be divested. The Council of State therefore considered that the subsidiary commitment to maintain exchange contracts was, just like the primary commitment to divest certain depots, capable of addressing the competition concerns raised by the operation.</w:t>
      </w:r>
    </w:p>
    <w:p>
      <w:r>
        <w:t>67. In this regard, it should be noted that commitments no. 8 and 9 go beyond the subsidiary commitment to maintain exchange contracts made by UGI under decision no. 15-DCC-53 (commitment no. 7) in that they provide, on the one hand, a commitment to propose exchange contracts to all competing operators regardless of whether they have an ongoing exchange contract or not, and on the other hand, the transfer of said exchange contracts to the nearest depot in the event of closure of the concerned depot and, finally, the billing at actual costs of the expenses charged by UGI to its contracting partners in the context of these exchange contracts.</w:t>
      </w:r>
    </w:p>
    <w:p>
      <w:r>
        <w:t>68. Moreover, some competitors consider that the standard exchange contract proposed by UGI, attached to the commitments, is not an exchange contract in the strict sense as it does not provide for the mutual supply of product since UGI no longer requires access to its contracting partner's depots as a counterparty, UGI no longer having the need for it. UGI will therefore no longer have to bear costs related to access to the contracting partner's depots (access fees, loading fees, etc.) while its contracting partner will still be subject to these costs.</w:t>
      </w:r>
    </w:p>
    <w:p>
      <w:r>
        <w:t>69. However, the fact that UGI manages to reduce its costs by limiting its access to its competitors' depots constitutes an efficiency gain that directly results from the operation that allowed it to expand its territorial network. It does not seem appropriate to require UGI to request a counterparty that it does not need nor to ask it to bear the costs of third-party operators accessing its depots.</w:t>
      </w:r>
    </w:p>
    <w:p>
      <w:r>
        <w:t>70. The present commitments aim to allow UGI's competing operators to access all local areas, particularly those where one or the other of the parties held a dominant position before the operation, through exchange contracts in order to continue delivering LPG to their customers at competitive prices across the territory. This is why UGI commits to propose exchange contracts to all operators in the sector for the concerned depots and to charge the costs related to these services at actual costs, under the control of the representative.</w:t>
      </w:r>
    </w:p>
    <w:p>
      <w:r>
        <w:t>71. Thus, the complementary commitments allow competing operators to access the local areas where UGI holds a dominant position and to deliver their customers at competitive prices. The proposed commitments are therefore capable of restoring the competitive capacity of the competing distributors of the parties in the small bulk markets and thus remedy the identified issues in these markets.</w:t>
      </w:r>
    </w:p>
    <w:p>
      <w:r>
        <w:t>3. DURATION OF THE COMMITMENTS</w:t>
      </w:r>
    </w:p>
    <w:p>
      <w:r>
        <w:t>72. The commitments are made for a duration of five (5) years from the date of this decision. This duration shall be without prejudice to the possibility for the parties to request the total or partial lifting of the commitments if the evolution of the legal or factual conditions taken into account for the examination of the operation justifies it.</w:t>
      </w:r>
    </w:p>
    <w:p>
      <w:r>
        <w:t>73. In this case, the objective of the commitments is to remedy effects whose lasting nature is established. The present measures thus aim to prevent, following the operation, a degradation of the ability of the competitors of the new entity to serve their customers in small bulk LPG. Therefore, in the absence of a significant and lasting structural modification of the markets under the divestiture commitments, and given the lasting nature of the position held by UGI, it is appropriate to provide for a review clause at the end of which the Authority will decide, by a reasoned decision and after having collected the observations of the parties, whether to extend the application of the substitution commitments for a new period of five (5) years, in whole or in part, considering the evolution of the legal or factual circumstances taken into account during the examination of the present operation.</w:t>
      </w:r>
    </w:p>
    <w:p>
      <w:r>
        <w:t>74. Some operators contest the limited duration of the commitments. However, the planned duration of five years, renewable once, of the present commitments is identical to that of the behavioral commitments made by UGI on May 13, 2015, under decision no. 15-DCC-53, which was not challenged by the Council of State in its decision of July 6, 2016.</w:t>
      </w:r>
    </w:p>
    <w:p>
      <w:r>
        <w:rPr>
          <w:b/>
        </w:rPr>
        <w:t>[Pages 16–16]</w:t>
      </w:r>
    </w:p>
    <w:p>
      <w:r>
        <w:t>DECIDES</w:t>
      </w:r>
    </w:p>
    <w:p>
      <w:r>
        <w:t>Article one: The operation notified under number 16-262 is authorized subject to the commitments described above and attached to this decision.</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