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https://www.autoritedelaconcurrence.fr/fr/decision-de-controle-des-concentrations/relative-la-prise-de-controle-exclusive-de-la-societe-5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REPUBLIC OF FRANCE  </w:t>
        <w:br/>
        <w:t xml:space="preserve">Decision No. 17-DCC-144 of August 31, 2017  </w:t>
        <w:br/>
        <w:t xml:space="preserve">regarding the exclusive control acquisition of the company Bretèche Industrie  </w:t>
        <w:br/>
        <w:t xml:space="preserve">by the company Linxis Group International  </w:t>
        <w:br/>
        <w:t xml:space="preserve">The Competition Authority,  </w:t>
        <w:br/>
        <w:t xml:space="preserve">Having regard to the complete notification file submitted to the mergers department on August 11, 2017,  </w:t>
        <w:br/>
        <w:t xml:space="preserve">concerning the exclusive control acquisition of the company Bretèche Industrie by the company Linxis Group  </w:t>
        <w:br/>
        <w:t xml:space="preserve">International, formalized by a share purchase agreement dated July 28,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Linxis Group  </w:t>
        <w:br/>
        <w:t xml:space="preserve">International of the company Bretèche Industrie and its subsidiaries, which are active in the  </w:t>
        <w:br/>
        <w:t xml:space="preserve">market for the manufacture of production equipment for the agri-food, pharmaceutical, and cosmetic sectors. It constitutes a concentration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the control thresholds mentioned in I of Article L. 430-2 of the Commercial Code are exceeded. This operation is therefore subject to the provisions of Articles L. 430-3 and  </w:t>
        <w:br/>
        <w:t xml:space="preserve">following of the Commercial Code relating to economic concentration.  </w:t>
        <w:br/>
        <w:t xml:space="preserve">2. The markets concerned by the operation are, on the one hand, the upstream market for bakery-pastry equipment and, on the other hand, the downstream market for the manufacture and marketing  </w:t>
        <w:br/>
        <w:t xml:space="preserve">of bakery-pastry products. These markets are consistently defined by the decision-making practice of the Competition Authority.  </w:t>
        <w:br/>
        <w:t xml:space="preserve">3. Regardless of the segmentations retained, the estimated market shares of the parties are  </w:t>
        <w:br/>
        <w:t xml:space="preserve">below 10%.  </w:t>
        <w:br/>
        <w:t xml:space="preserve">4. Considering the elements of the file and in accordance with point 384 of the guidelines of  </w:t>
        <w:br/>
        <w:t>the Competition Authority relating to the control of concentrations, the operation is not likely to harm competition.</w:t>
      </w:r>
    </w:p>
    <w:p>
      <w:r>
        <w:t xml:space="preserve">DECIDES  </w:t>
        <w:br/>
        <w:t xml:space="preserve">Sole Article: The operation notified under number 17-165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