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https://www.autoritedelaconcurrence.fr/fr/decision-de-controle-des-concentrations/relative-la-prise-de-controle-exclusive-de-la-societe-6</w:t>
      </w:r>
    </w:p>
    <w:p>
      <w:r>
        <w:t>Pages translated : 7</w:t>
      </w:r>
    </w:p>
    <w:p/>
    <w:p>
      <w:r>
        <w:rPr>
          <w:b/>
        </w:rPr>
        <w:t>[Pages 1–3]</w:t>
      </w:r>
    </w:p>
    <w:p>
      <w:r>
        <w:t xml:space="preserve">FRENCH REPUBLIC  </w:t>
        <w:br/>
        <w:t xml:space="preserve">Decision No. 17-DCC-155 of September 22, 2017  </w:t>
        <w:br/>
        <w:t xml:space="preserve">regarding the exclusive control of the company Quadran by the company Direct Énergie  </w:t>
        <w:br/>
        <w:t xml:space="preserve">The Competition Authority,  </w:t>
        <w:br/>
        <w:t xml:space="preserve">Having regard to the notification file submitted in full to the merger service on August 28, 2017, regarding the exclusive control of the company Quadran by the company Direct Énergie, formalized by a share purchase agreement dated July 31, 2017;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 xml:space="preserve">Adopts the following decision:  </w:t>
        <w:br/>
        <w:t xml:space="preserve">I. The concerned companies and the operation  </w:t>
        <w:br/>
        <w:t xml:space="preserve">1. Direct Énergie SA (hereinafter "Direct Énergie") is a company governed by French law whose shares are admitted to trading on the regulated market of Euronext Paris. It is primarily active in the production, trading, and supply of electricity to all types of customers (individuals, professionals, businesses, and local authorities), in France and Belgium. It is also involved in the trading and supply of gas to these same types of customers.  </w:t>
        <w:br/>
        <w:t xml:space="preserve">2. Quadran SAS (hereinafter "Quadran") is the parent company of the eponymous group, which is an independent producer of electricity from renewable sources. It operates in the fields of wind, photovoltaic, hydraulic, biogas, and biomass. Quadran is present throughout the entire production chain, from the identification and design of production sites to the operation of power plants [...]*. Quadran is controlled by the company Lucia Holding.  </w:t>
        <w:br/>
        <w:t>* Correction of a material error.</w:t>
      </w:r>
    </w:p>
    <w:p>
      <w:r>
        <w:t xml:space="preserve">3. The notified operation, formalized by a share purchase agreement dated July 31, 2017, consists of the acquisition of all shares of Quadran by Direct Énergie.  </w:t>
        <w:br/>
        <w:t xml:space="preserve">4. As it results in the exclusive control of Quadran by Direct Énergie, the notified operation constitutes a concentration within the meaning of Article L.430-1 of the Commercial Code.  </w:t>
        <w:br/>
        <w:t xml:space="preserve">5. The companies concerned achieve a total worldwide turnover excluding taxes of more than 150 million euros (Direct Énergie: 1.69 billion euros for the fiscal year ending December 31, 2016; Quadran: [...] euros for the same fiscal year). Each of these companies has achieved a turnover in France exceeding 50 million euros (Direct Énergie: 1.66 billion euros for the fiscal year ending December 31, 2016; Quadran: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6. The parties are simultaneously present in the market for the production and wholesale sale of electricity (A). Upstream, Quadran is present in the market for the development, construction, operation, and maintenance of photovoltaic power plants, wind farms, hydroelectric power plants, and biomass recovery plants (B). It also provides engineering and technical studies services (C). Downstream, Direct Énergie is present in the retail electricity supply market1*(D).  </w:t>
        <w:br/>
        <w:t xml:space="preserve">A. THE PRODUCTION AND WHOLESALE SALE OF ELECTRICITY  </w:t>
        <w:br/>
        <w:t xml:space="preserve">1. PRODUCT MARKET  </w:t>
        <w:br/>
        <w:t xml:space="preserve">7. The decision-making practice of the competition authorities has recognized the existence of a market for the production and wholesale sale of electricity, these two activities forming a single market2. This market includes the production of domestic electricity, as well as electricity physically imported via interconnections for resale to retailers, traders, and, to a lesser extent, large industrial end consumers.  </w:t>
        <w:br/>
        <w:t xml:space="preserve">8. On the supply side, market players include electricity producers, importers, and traders.  </w:t>
        <w:br/>
        <w:t xml:space="preserve">1 […]* Correction of a material error.  </w:t>
        <w:br/>
        <w:t>2 European Commission Decision COMP/M.7137 of June 25, 2014 EDF / Dalkia, decisions of the Competition Authority No. 09-DCC-28 of July 30, 2009, regarding the acquisition of the company Poweo by the company Österreichische Elektrizitätwirtschafts – Aktiengesellschaft and No. 17-DCC-16 of February 8, 2017, regarding the joint control of the companies Éole Moulin Tizon, Éole Brocéliande, Éoliennes de l’Ourq and Clignon by the companies Predica Prévoyance, Omnes Capital, and Quadran.</w:t>
      </w:r>
    </w:p>
    <w:p>
      <w:r>
        <w:t xml:space="preserve">2. GEOGRAPHIC MARKET  </w:t>
        <w:br/>
        <w:t xml:space="preserve">9. Decision-making practice considers that the market for the production and wholesale sale of electricity is national in scope, particularly due to the weakness of interconnections between neighboring states3.  </w:t>
        <w:br/>
        <w:t xml:space="preserve">B. ENGINEERING STRUCTURES AND INDUSTRIAL EQUIPMENT  </w:t>
        <w:br/>
        <w:t xml:space="preserve">1. PRODUCT MARKET  </w:t>
        <w:br/>
        <w:t xml:space="preserve">10. Quadran is present at different levels of production (development, construction, operation, and maintenance) of photovoltaic power plants (i), wind farms (ii), hydroelectric power plants (iii), and biomass electricity production plants (iv).  </w:t>
        <w:br/>
        <w:t xml:space="preserve">11. The Authority has considered segmenting the market for engineering structures and industrial equipment by distinguishing the activities of development, construction, operation, and maintenance of photovoltaic plants4.  </w:t>
        <w:br/>
        <w:t xml:space="preserve">12. The decision-making practice of the competition authorities has also considered the existence of a market for the development, construction, and management of wind farms5, further segmented into (i) the development and management of wind farms for internal use or for sale to third parties and (ii) the development and management of wind farms exclusively for sale to third parties. The question of whether the market for the development, construction, and management of wind farms includes maintenance services for the farms has been left open6.  </w:t>
        <w:br/>
        <w:t xml:space="preserve">13. This decision-making practice could also apply to hydraulic power plants and biomass electricity production plants, the latter not having been analyzed by the competition authorities.  </w:t>
        <w:br/>
        <w:t xml:space="preserve">14. However, there is no need to conclude on the precise delimitation of these markets, as the conclusions of the competitive analysis remain unchanged regardless of the segmentation adopted.  </w:t>
        <w:br/>
        <w:t xml:space="preserve">2. GEOGRAPHIC MARKET  </w:t>
        <w:br/>
        <w:t xml:space="preserve">15. Decision-making practice considers that the market for engineering structures and industrial equipment is national in scope7.  </w:t>
        <w:br/>
        <w:t xml:space="preserve">16. There is no need to revisit this decision-making practice in the context of the present operation, as Quadran is only active in France.  </w:t>
        <w:br/>
        <w:t xml:space="preserve">3 Id.  </w:t>
        <w:br/>
        <w:t xml:space="preserve">4 Decisions of the Competition Authority No. 14-DCC-195 of December 31, 2014, regarding the exclusive control of the company Juwi EnR by the company Neoen, and No. 15-DCC-102 of July 30, 2015, regarding the exclusive control of Solairedirect by GDF Suez.  </w:t>
        <w:br/>
        <w:t xml:space="preserve">5 Decisions of the European Commission COMP/M.5366 of December 4, 2008, Iberdrola Renovables/Gamesa, and COMP/M.6540 of May 10, 2012, Dong Energy Borkum Riffgrund I Holdco/Boston Holding/Borkum Riffgrund I Offshore Windpark and the decision of the Competition Authority No. 17-DCC-67 of May 26, 2017, regarding the exclusive control of the company La Compagnie du Vent by Engie.  </w:t>
        <w:br/>
        <w:t xml:space="preserve">6 Id.  </w:t>
        <w:br/>
        <w:t xml:space="preserve">7 Decision No. 14-DCC-195 cited above.  </w:t>
        <w:br/>
        <w:t>3</w:t>
      </w:r>
    </w:p>
    <w:p>
      <w:r>
        <w:rPr>
          <w:b/>
        </w:rPr>
        <w:t>[Pages 4–6]</w:t>
      </w:r>
    </w:p>
    <w:p>
      <w:r>
        <w:t xml:space="preserve">C. ENGINEERING AND TECHNICAL STUDIES SERVICES  </w:t>
        <w:br/>
        <w:t xml:space="preserve">1. SERVICE MARKET  </w:t>
        <w:br/>
        <w:t xml:space="preserve">17. Engineering and technical studies services encompass all operations related to the design and support for the realization of industrial equipment (R&amp;D, development, engineering and process, realization, operation, and maintenance). These services are offered in numerous fields of activity such as industry, energy, transport, environment, construction, and public services.  </w:t>
        <w:br/>
        <w:t xml:space="preserve">18. Competition authorities have considered several segmentations of these markets, identifying infrastructure engineering, technology consulting, and project management assistance.  </w:t>
        <w:br/>
        <w:t xml:space="preserve">19. They have also considered a segmentation of the market based on sectors of activity (aeronautics, defense, telecommunications, energy, rail, banking, and insurance). In this case, only the energy sector is concerned by the present operation.  </w:t>
        <w:br/>
        <w:t xml:space="preserve">20. However, there is no need to resolve the question of the exact delimitation of these markets as the conclusions of the competitive analysis remain unchanged regardless of the definition adopted.  </w:t>
        <w:br/>
        <w:t xml:space="preserve">2. GEOGRAPHIC MARKET  </w:t>
        <w:br/>
        <w:t xml:space="preserve">21. Decision-making practice generally considers that the markets for engineering and technical studies are national in scope, while not excluding an infranational dimension depending on the type of clientele and the missions concerned.  </w:t>
        <w:br/>
        <w:t xml:space="preserve">22. Specifically regarding the energy sector, the Authority considers that the market for engineering and technical studies is national in scope, as market operators offer a broad range of services, allowing them to operate throughout the territory, and where the main clients are groups of at least national size.  </w:t>
        <w:br/>
        <w:t xml:space="preserve">23. There is no reason to challenge this decision-making practice in this case.  </w:t>
        <w:br/>
        <w:t xml:space="preserve">D. RETAIL ELECTRICITY SUPPLY  </w:t>
        <w:br/>
        <w:t xml:space="preserve">1. SERVICE MARKET  </w:t>
        <w:br/>
        <w:t xml:space="preserve">24. Within retail electricity supply, competition authorities distinguish (i) retail electricity supply to large industrial and commercial clients connected to the transmission network and (ii) retail electricity supply to small industrial, commercial, and residential clients connected to the distribution network. This delimitation has been considered as large industrial clients benefit from individualized offers based on their actual consumption, while clients connected to the distribution network are subject to a mass commercial approach and are assigned a tariff based on the typical profile of their consumption. These latter clients are referred to as "profiled": a theoretical typical profile is assigned to them based on their characteristics in terms of professional activity and domestic equipment, in order to be able to estimate their electricity consumption in advance.  </w:t>
        <w:br/>
        <w:t xml:space="preserve">25. Furthermore, competition authorities have considered distinguishing, within the "profiled" clients, (i) small industrial and commercial clients and (ii) residential clients. Indeed, these two customer segments have distinct consumption profiles, and supply to residential clients is subject to specific regulations resulting from public service obligations that do not apply to professional clients.  </w:t>
        <w:br/>
        <w:t xml:space="preserve">26. Competition authorities have also considered defining narrower markets for electricity supply to clients who have subscribed to a supply contract on the free market. Thus, the Authority noted that market offers with freely set prices and offers with regulated tariffs coexist in France and that, moreover, subscribing to a supply contract on the free market does not allow a return to these regulated tariffs, except in exceptional cases, particularly for large industrial clients.  </w:t>
        <w:br/>
        <w:t xml:space="preserve">27. However, since the entry into force of Law No. 2010-1488 of December 7, 2010, concerning the new organization of the electricity market, legislation now allows small consumers (industrial, commercial, and residential subscribing to a power of less than 36 kVA) to return to regulated tariffs upon simple request and without delay for a duration of at least one year. Since January 1, 2016, large consumers (industrial and commercial subscribing to a power of more than 36 kVA) only benefit from market offers.  </w:t>
        <w:br/>
        <w:t xml:space="preserve">28. However, there is no need to conclude on the precise delimitation of these markets, as the conclusions of the competitive analysis remain unchanged, regardless of the definition adopted.  </w:t>
        <w:br/>
        <w:t xml:space="preserve">2. GEOGRAPHIC MARKET  </w:t>
        <w:br/>
        <w:t xml:space="preserve">29. The Authority considers that the electricity supply markets are national in scope. There is no need to challenge this decision-making practice in this case.  </w:t>
        <w:br/>
        <w:t xml:space="preserve">III. Competitive Analysis  </w:t>
        <w:br/>
        <w:t xml:space="preserve">A. HORIZONTAL EFFECTS  </w:t>
        <w:br/>
        <w:t xml:space="preserve">30. In the national market for the production and wholesale sale of electricity, the combined market shares of the parties have been estimated at less than 5% in terms of installed production capacities and in terms of electricity produced in 2016. The new entity will face competition from EDF, which represents 70.5% of the installed capacity and 81.3% of the electricity produced in 2016 in France.  </w:t>
        <w:br/>
        <w:t xml:space="preserve">31. Therefore, the operation is not likely to harm competition through horizontal effects in the national market for the production and wholesale sale of electricity.  </w:t>
        <w:br/>
        <w:t xml:space="preserve">B. VERTICAL EFFECTS  </w:t>
        <w:br/>
        <w:t xml:space="preserve">32. A vertical concentration can restrict competition by making access to the markets in which the new entity will be active more difficult, or even potentially excluding competitors or penalizing them by increasing their costs. However, the Authority considers that it is unlikely that a company with a market share of less than 30% in a given market could lock in a downstream or upstream market.  </w:t>
        <w:br/>
        <w:t xml:space="preserve">1. RETAIL ELECTRICITY SUPPLY MARKET  </w:t>
        <w:br/>
        <w:t xml:space="preserve">33. In the national market for retail electricity supply, Direct Énergie's market share does not exceed 10%, regardless of the segmentation adopted.  </w:t>
        <w:br/>
        <w:t xml:space="preserve">34. Any risk of harming competition through vertical effects in the markets for the production and wholesale sale of electricity and for retail electricity supply can therefore be ruled out given the limited positions of the parties in these markets.  </w:t>
        <w:br/>
        <w:t xml:space="preserve">2. ENGINEERING STRUCTURES AND INDUSTRIAL EQUIPMENT MARKET  </w:t>
        <w:br/>
        <w:t xml:space="preserve">35. In the national market for engineering structures and industrial equipment in the energy sector, Quadran's market share does not exceed 5%, regardless of the segmentation adopted.  </w:t>
        <w:br/>
        <w:t>36. Any risk of harming competition through vertical effects in the markets for engineering structures and industrial equipment and for the production and wholesale sale of electricity can therefore be ruled out given the limited positions of the parties in these markets.</w:t>
      </w:r>
    </w:p>
    <w:p>
      <w:r>
        <w:rPr>
          <w:b/>
        </w:rPr>
        <w:t>[Pages 7–7]</w:t>
      </w:r>
    </w:p>
    <w:p>
      <w:r>
        <w:t xml:space="preserve">3. MARKET FOR ENGINEERING AND TECHNICAL STUDIES SERVICES  </w:t>
        <w:br/>
        <w:t xml:space="preserve">37. In the national market for engineering and technical studies services, Quadran's market share does not exceed 5%, regardless of the segmentation chosen.  </w:t>
        <w:br/>
        <w:t xml:space="preserve">38. Any risk of harm to competition through vertical effects in the markets concerned by the operation can therefore be ruled out given the limited positions of the parties.  </w:t>
        <w:br/>
        <w:t xml:space="preserve">39. Consequently, the operation is not likely to harm competition through vertical effects in the concerned markets.  </w:t>
        <w:br/>
        <w:t xml:space="preserve">DECIDES  </w:t>
        <w:br/>
        <w:t xml:space="preserve">Sole Article: The operation notified under number 17-173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