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https://www.autoritedelaconcurrence.fr/fr/decision-de-controle-des-concentrations/relative-la-prise-de-controle-exclusive-de-la-societe-9</w:t>
      </w:r>
    </w:p>
    <w:p>
      <w:r>
        <w:t>Pages translated : 2</w:t>
      </w:r>
    </w:p>
    <w:p/>
    <w:p>
      <w:r>
        <w:rPr>
          <w:b/>
        </w:rPr>
        <w:t>[Pages 1–2]</w:t>
      </w:r>
    </w:p>
    <w:p>
      <w:r>
        <w:t xml:space="preserve">French Republic  </w:t>
        <w:br/>
        <w:t xml:space="preserve">Decision No. 19-DCC-91 of May 13, 2019  </w:t>
        <w:br/>
        <w:t xml:space="preserve">regarding the exclusive control acquisition of the company Restauration Collective Casino by the company Compass Group France  </w:t>
        <w:br/>
        <w:t xml:space="preserve">The Competition Authority,  </w:t>
        <w:br/>
        <w:t xml:space="preserve">Having regard to the complete notification file sent to the mergers department on April 4, 2019, concerning the exclusive control acquisition of the company Restauration Collective Casino (hereinafter "R2C") by the company Compass Group France, formalized by a sale option agreement dated February 13, 2019;  </w:t>
        <w:br/>
        <w:t xml:space="preserve">Having regard to Book IV of the Commercial Code relating to the freedom of prices and competition, and in particular its Articles L. 430-1 to L. 430-7;  </w:t>
        <w:br/>
        <w:t xml:space="preserve">Having regard to the elements provided by the parties during the investigation;  </w:t>
        <w:br/>
        <w:t xml:space="preserve">Adopts the following decision:  </w:t>
        <w:br/>
        <w:t xml:space="preserve">1. The notified operation consists of the exclusive control acquisition by the company Compass Group France of the company R2C, which is active in the collective catering market. It constitutes a concentration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  </w:t>
        <w:br/>
        <w:t xml:space="preserve">2. The markets concerned by the operation are, on the one hand, the upstream market for the supply of food products and, on the other hand, the downstream market for collective catering. These markets are consistently defined by the decision-making practice of the Competition Authority.  </w:t>
        <w:br/>
        <w:t xml:space="preserve">3. Regardless of the segmentations retained, the combined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19-073 is authorized.  </w:t>
        <w:br/>
        <w:t xml:space="preserve">The Vice-President,  </w:t>
        <w:br/>
        <w:t xml:space="preserve">Iréne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