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https://www.autoritedelaconcurrence.fr/fr/decision-de-controle-des-concentrations/relative-la-prise-de-controle-exclusive-de-la-societe-evoc</w:t>
      </w:r>
    </w:p>
    <w:p>
      <w:r>
        <w:t>Pages translated : 9</w:t>
      </w:r>
    </w:p>
    <w:p/>
    <w:p>
      <w:r>
        <w:rPr>
          <w:b/>
        </w:rPr>
        <w:t>[Pages 1–3]</w:t>
      </w:r>
    </w:p>
    <w:p>
      <w:r>
        <w:t xml:space="preserve">FRENCH REPUBLIC  </w:t>
        <w:br/>
        <w:t xml:space="preserve">Decision No. 14-DCC-21 of February 17, 2014  </w:t>
        <w:br/>
        <w:t xml:space="preserve">regarding the exclusive control of the company Evoc  </w:t>
        <w:br/>
        <w:t>by the Val d’Orbieu group</w:t>
      </w:r>
    </w:p>
    <w:p>
      <w:r>
        <w:t xml:space="preserve">The Competition Authority,  </w:t>
        <w:br/>
        <w:t xml:space="preserve">Having regard to the notification file sent to the concentrations service on January 7, 2013, declared complete on January 13, 2014, regarding the exclusive control of the company Evoc by the Val d’Orbieu group, formalized by the deliberations of the board of directors of the company Evoc on July 12, 2012, and of the company La Languedocienne on June 25, 2012, and then by a draft contribution agreement and a shareholders' agreement dated August 31,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Val d’Orbieu group (hereinafter "Val d’Orbieu") consists of the Agricultural Cooperative Society Les Vignerons du Val d’Orbieu (hereinafter "SCA Val d’Orbieu") which holds 100% of the capital of the holding company La Languedocienne (hereinafter "La Languedocienne"). Through SCA Val d’Orbieu, the group has a second-level cooperative activity that collects wine, grape juice, and concentrated musts from its members, namely 11 cooperative cellars and 50 independent winemakers. Through La Languedocienne and its subsidiaries (Trilles SA, Vignerons de la Méditerranée, SAS Grand terroir, SAS Sudvin, SAS Innovo), the group markets wines of different categories, still and sparkling, French and foreign, as well as wine-based beverages.  </w:t>
        <w:br/>
        <w:t xml:space="preserve">2. The company Evoc (hereinafter "Evoc"), owned 53% by the Agricultural Cooperative Society Razes (hereinafter "SCA Razes") and 47% by SCA Malepère (hereinafter "SCA Malepère"), holds the entire capital of the civil company Financière Uccoar (hereinafter "Financière Uccoar"). Evoc packages and markets through subsidiaries controlled by Financière Uccoar (Uccoar SA group, SAS Les Deux Mers, SAS Vent d’Autan, SCEA Château Marguerite and Château Cadastre) wines from different categories, still and sparkling, French and foreign, as well as wine-based beverages.  </w:t>
        <w:br/>
        <w:t xml:space="preserve">3. Under a draft contribution agreement dated August 31, 2012, amended on January 30, 2013, Evoc will transfer all of its shares in Financière Uccoar to La Languedocienne in exchange for the grant of a 25% stake in the capital of the latter. Subsequently, it is planned that the company Evoc will be liquidated so that SCA Razes and SCA Malepère will be direct shareholders of La Languedocienne at 13% for the former and 12% for the latter.  </w:t>
        <w:br/>
        <w:t xml:space="preserve">4. Following this operation, La Languedocienne will be governed by a shareholders' agreement concluded on August 31, 2012, between, on the one hand, SCA Val d’Orbieu as the majority shareholder and, on the other hand, Evoc and SCA Razes and Malepère as new shareholders. Under this agreement, La Languedocienne will be governed by a board of directors composed of 14 directors, 10 of whom will be from La Languedocienne, two from SCA Razes, and two from SCA Malepère. Article 9 of the shareholders' agreement specifies that certain decisions (Modification of share capital, mergers, demergers, and partial contributions of assets and contributions to any other company, taking stakes in all companies or groups, transformation of the company, dissolution and liquidation of the company, acquisition and sale of business assets or branches of activities, appointment and dismissal of the general manager) will be taken by a qualified majority of two-thirds and that this qualified majority will be raised to three-quarters concerning decisions relating to the assets contributed by the new shareholders, namely Financière Uccoar. However, these veto rights do not exceed those considered necessary to protect the interests of minority shareholders. At the end of the operation, Val d’Orbieu will therefore have sole veto power over the strategic decisions of the new entity. As it results in the exclusive control of Evoc by Val d’Orbieu, the notified operation constitutes a concentration within the meaning of Article L. 430-1 of the Commercial Code.  </w:t>
        <w:br/>
        <w:t>5. The concerned companies together achieve a total worldwide turnover of more than 150 million euros (Val d’Orbieu: 188 million euros for the fiscal year ending December 31, 2011; Evoc: 79 million euros for the same year). Each achieves, in France, a turnover exceeding 50 million euros (Val d’Orbieu: 126 million euros for the fiscal year ending December 31, 2011; Evoc: 67 million euros for the same year). Given these turnover figures, the operation is not of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The concerned markets  </w:t>
        <w:br/>
        <w:t xml:space="preserve">6. In agricultural matters and more particularly in the wine sector, national decision-making practice distinguishes the markets of agricultural supply for vineyards, supply (in grapes or in finished wines), marketing of wines, and retail sales through wine merchant networks.  </w:t>
        <w:br/>
        <w:t xml:space="preserve">7. The parties to the operation are not present in the markets of agricultural supply for vineyards, supply of grapes, and retail sales through wine merchant networks. Furthermore, the operation will not result in any overlap of activities in the upstream markets of supply of finished wines as the cooperative societies that make up the Evoc group (SCA Razes and SCA Malepère) will remain independent of SCA Val d’Orbieu. These cooperatives will not be subject to any obligation to supply wines for the benefit of the marketing subsidiaries of the new entity and will remain free to contract freely with any other client. Moreover, the supply contracts for wine between SCA Razes and Malepère and the marketing subsidiaries of the new entity will be concluded under market conditions.  </w:t>
        <w:br/>
        <w:t>8. The analysis will therefore focus solely on the downstream markets of wine marketing.</w:t>
      </w:r>
    </w:p>
    <w:p>
      <w:r>
        <w:t xml:space="preserve">A. THE PRODUCT MARKETS  </w:t>
        <w:br/>
        <w:t>9. The Competition Authority makes a distinction, within the market for wine marketing, between the distribution of beverages intended for consumption off-premises, and the distribution of beverages intended for consumption on-premises.</w:t>
      </w:r>
    </w:p>
    <w:p>
      <w:r>
        <w:rPr>
          <w:b/>
        </w:rPr>
        <w:t>[Pages 4–6]</w:t>
      </w:r>
    </w:p>
    <w:p>
      <w:r>
        <w:t xml:space="preserve">domicile, on-trade circuit (beverages sold in cafes, hotels, restaurants, and other communities), and the distribution of beverages intended for home consumption, off-trade circuit (beverages purchased in grocery stores). In this case, the parties are primarily present in the market for the supply of wine in the off-trade circuit.  </w:t>
        <w:br/>
        <w:t xml:space="preserve">10. Furthermore, the community decision-making practice consistently considers that still wines and sparkling wines belong to two distinct markets. In this case, the parties are not present in the sparkling wine market.  </w:t>
        <w:br/>
        <w:t xml:space="preserve">11. Within still wines, the community and national decision-making practice has considered segmentation according to color (red, white, or rosé), according to category (Protected Designation of Origin ("AOP"), Protected Geographical Indication ("IGP"), wines without geographical indication ("SIG")) and according to commercial positioning (manufacturer brand ("MDF"), distributor brand ("MDD") and low-cost brand ("MPP")).  </w:t>
        <w:br/>
        <w:t xml:space="preserve">Distinction according to product category  </w:t>
        <w:br/>
        <w:t xml:space="preserve">12. Regarding the categories of wine, the Competition Authority concluded on the substitutability between SIG and IGP wines due notably to the possibility for SIG wines to mention the grape variety, and due to the structural evolution of consumption habits. It thus identified a market for everyday wines grouping SIG and IGP wines that must be distinguished from the market for AOP wines to the extent, notably, that there are specific regulatory constraints for AOPs and that consumers of AOP wines have different selection criteria (grape variety, harvest year, production region…) from consumers of SIG/IGP wines (primarily price). This delimitation was confirmed by the market test conducted during the investigation of the present case.  </w:t>
        <w:br/>
        <w:t xml:space="preserve">13. The national and community decision-making practice has also considered, within AOP wines, a finer segmentation according to the type of designation. A large majority of respondents to the market test believe that geographical origin constitutes an important selection criterion for consumers of AOP wines and that the consumer is able to recognize the different designations on the shelves of supermarkets. It also emerges from the market test that the characteristics of AOP wines can be more or less distant depending on the geographical origin of the designations. Thus, according to the respondents, AOP Bergerac wines and AOP Bordeaux wines have, due to similarities in grape varieties, terroir, and climate, relatively close taste characteristics, which differ from AOP wines from the Languedoc Roussillon region (notably AOP Corbières wines). It therefore seems relevant to retain a segmentation of AOP wines based on geographical origin. This could involve a segmentation between different regions grouping several AOPs perceived as interchangeable or a finer segmentation distinguishing between each designation. However, in this case, this question may remain open to the extent that the competitive analysis remains unchanged regardless of the hypothesis considered.  </w:t>
        <w:br/>
        <w:t xml:space="preserve">12 According to the notifying party, the new entity sold in 2012 the equivalent of 697 K bottles of still wines in the on-trade circuit for a total estimated market of 1,550,000 K bottles. It therefore estimates the cumulative market share of the new entity to be less than 1% in this circuit.  </w:t>
        <w:br/>
        <w:t xml:space="preserve">13 See the decisions of the European Commission COMP/M.5114 and COMP/M.6149 mentioned above and the decision of the Competition Authority n°12-DCC-92 mentioned above.  </w:t>
        <w:br/>
        <w:t xml:space="preserve">14 See the decision of the Competition Authority n°12-DCC-92 mentioned above.  </w:t>
        <w:br/>
        <w:t xml:space="preserve">15 See the decisions of the European Commission COMP/M.2941 and COMP/M.6149 mentioned above as well as the decision of the Competition Authority n°12-DCC-92 mentioned above.  </w:t>
        <w:br/>
        <w:t>4</w:t>
      </w:r>
    </w:p>
    <w:p>
      <w:r>
        <w:t xml:space="preserve">14. In this case, the parties both market AOP wines Bergerac, Corbières, Bordeaux, Côtes de Provence, Côtes du Rhône, Côtes du Roussillon, Faugères, Fitou, Fronton, Languedoc, Languedoc Picpoul Pinet, Minervois, and Saint Chinian.  </w:t>
        <w:br/>
        <w:t xml:space="preserve">Distinction according to product positioning  </w:t>
        <w:br/>
        <w:t xml:space="preserve">15. Regarding the commercial positioning of wines, the Competition Authority noted that the supply modalities of the supermarket circuit differ between wines sold under MDD/MPP and products sold under MDF.  </w:t>
        <w:br/>
        <w:t xml:space="preserve">16. Indeed, wines sold under MPP/MDD are produced according to a specification (lighter for MPP) defined by the buyer (the supermarket) detailing the expected characteristics of the product. In this context, the supplier only intervenes in accordance with the specification and has no role in defining the commercial strategies of these brands (decisions on launching new products, communication policy, etc.), unlike MDF suppliers. Furthermore, unlike MDF, the identity of the operator supplying a brand with wine sold under MDD remains unknown to the final consumer. The identity of the operator supplying a brand with wine sold under MPP may or may not be known to the consumer, depending on whether the operator markets these products under a brand it owns or under a brand belonging to the distributor. Additionally, products sold under MPP/MDD are generally subject to calls for tenders, whereas wine sold under MDF is subject to a listing contract within the framework of negotiated agreements where the brand and the promotional efforts related to it play an important role.  </w:t>
        <w:br/>
        <w:t xml:space="preserve">17. However, the belonging of MPP/MDD and MDF to the same upstream product market or to distinct markets also depends on factors other than the supply process. It is particularly important to consider whether, on the supply side, the main operators provide both categories of products. Similarly, if the analysis of the operation concerns exclusively the marketing market to supermarkets, the competitive pressure that MDF and MDD/MPP producers may exert on each other is closely influenced by consumer behavior in downstream markets connecting supermarkets with customers, and thus by the substitutability, from the consumers' perspective, between the different products. Negotiations between supermarkets and their suppliers therefore take place in a different competitive context depending on the degree of differentiation of the products in terms of taste, quality, price, or packaging and according to the notoriety of the manufacturer brands.  </w:t>
        <w:br/>
        <w:t xml:space="preserve">18. The substitutability between MPP, MDD, and MDF wines must thus be subject to a detailed analysis.  </w:t>
        <w:br/>
        <w:t xml:space="preserve">19. Regarding SIG and IGP wines, the Competition Authority noted a specificity of low-cost wines (MPP) which, from the perspective of price and quality, stand out significantly from all other wines sold under MDD and MDF. This specificity was confirmed by the market test conducted in connection with the present operation, with a large majority of respondents believing that it is relevant, for SIG/IGP wines, to distinguish wines marketed under MPP from wines marketed under MDF/MDD.  </w:t>
        <w:br/>
        <w:t xml:space="preserve">20. Regarding the distinction between wines sold under MDF and wines sold under MDD, the Competition Authority estimated, for IGP wines, that wines marketed under MDF and under MDD belong to the same market considering notably the slight difference in terms of quality, the high penetration rate of MDD of IGP wines, and the low notoriety of IGP wine brands, while still leaving the question open. Regarding SIG wines, after specifying that the penetration rate of MDD in this market is relatively low and that the notoriety of the brands is very limited, it also left the question open. There is no need to decide this question in the present case, as the conclusions of the analysis remain unchanged regardless of the solution adopted.  </w:t>
        <w:br/>
        <w:t xml:space="preserve">21. In this case, the parties both market SIG/IGP wines under MDF, under MDD, and under MPP.  </w:t>
        <w:br/>
        <w:t xml:space="preserve">22. Regarding AOP wines, the notifying party estimates that wines sold under MDF are in direct competition on the shelves of supermarkets with wines sold under MDD and that there are few differences in terms of taste, price, and quality between AOP wines sold under MDF and those sold under MDD. Respondents to the market test confirm these various points and estimate for a majority of them that the consumer is not able to recognize an MDD of AOP wines from an MDF. The notifying party and the respondents to the market test also believe that low-cost AOP wines (MPP) are distinguished from AOP wines under MDF and MDD due to lower quality, different packaging, and lower prices (between 1.5 euros and 2 euros). However, it appears difficult to delineate a homogeneous category of low-cost AOP wines. The exact delimitation of the AOP wine markets can, however, be left open to the extent that the competitive analysis remains unchanged regardless of the hypothesis considered.  </w:t>
        <w:br/>
        <w:t xml:space="preserve">23. In this case, the parties both market AOP wines under MDF, under MDD, and under MPP.  </w:t>
        <w:br/>
        <w:t xml:space="preserve">B. THE GEOGRAPHICAL MARKETS  </w:t>
        <w:br/>
        <w:t xml:space="preserve">24. The national and community decision-making practice generally considers that the different markets for spirits and wines have a national geographical dimension due to the existence of consumption habits that differ by state. There is no need to question this definition in the context of the present decision.  </w:t>
        <w:br/>
        <w:t xml:space="preserve">III. Competitive Analysis  </w:t>
        <w:br/>
        <w:t xml:space="preserve">25. Given the activities of the parties, the effects of the operation will be analyzed on the following markets:  </w:t>
        <w:br/>
        <w:t xml:space="preserve">- The market for everyday wines including SIG and IGP wines,  </w:t>
        <w:br/>
        <w:t xml:space="preserve">- The markets for AOP wines and in particular AOP Bergerac and AOP Corbières (excluding MDD, the target does not market MDD for these two AOPs).  </w:t>
        <w:br/>
        <w:t xml:space="preserve">19 See the decisions of the European Commission COMP/M.2941, COMP/M.5114, and COMP/M.6149 mentioned above as well as the decision of the Competition Authority n°12-DCC-92 mentioned above.  </w:t>
        <w:br/>
        <w:t>6</w:t>
      </w:r>
    </w:p>
    <w:p>
      <w:r>
        <w:rPr>
          <w:b/>
        </w:rPr>
        <w:t>[Pages 7–9]</w:t>
      </w:r>
    </w:p>
    <w:p>
      <w:r>
        <w:t xml:space="preserve">A. THE MARKETS FOR COMMON CONSUMPTION WINES (SIG AND IGP)  </w:t>
        <w:br/>
        <w:t xml:space="preserve">26. In a global market for still wines for common consumption sold through the off-trade channel, the notifying party estimates that, regardless of color, the market shares of the new entity will be below 25% for the year 2012. Following the operation, the new entity will face competition from Castel, which it estimates has a market share of approximately 40%, as well as from Grand Chais de France, Moncigale, and Prodis, which it estimates have a market share of about 10%, and Advini (approximately 5%).  </w:t>
        <w:br/>
        <w:t xml:space="preserve">27. The notifying party has not been able to assess the size of the French market for common consumption wines segmented by commercial positioning between wines sold under MDF, MDD, and MPP. However, it estimates that its position in the common consumption wine market will be below 25% regardless of commercial positioning (MDF, MDD, or MPP). This estimate appears consistent with the figures collected during the market test. Indeed, regardless of commercial positioning (MDF, MDD, or MPP), the notifying party will remain the second player in the common consumption wine market behind the Castel group and will also face competition from at least three other market players (including: Advini, Montcigale, Prodis, Grand Chais de France).  </w:t>
        <w:br/>
        <w:t xml:space="preserve">28. Given the above elements, the operation is not likely to harm competition through horizontal effects on the various markets for the marketing of common consumption wines.  </w:t>
        <w:br/>
        <w:t xml:space="preserve">B. THE MARKETS FOR AOP WINES  </w:t>
        <w:br/>
        <w:t xml:space="preserve">29. According to the notifying party, the target of the operation, Evoc, markets very few AOP wines. Indeed, in a global market for AOP wines regardless of color, it estimates that the market shares of the new entity will be below 6% with a very low increment, below 1%. Following the operation, the new entity will still face competition from Castel, which it estimates has a market share of approximately 20%, from Advini and Prodis (approximately 10%), as well as from Grand Chais de France and Montcigale (approximately 5%).  </w:t>
        <w:br/>
        <w:t xml:space="preserve">30. The notifying party has not been able to assess the French market for AOP wines segmented by commercial positioning between wines sold under MDF, under MDD, or under MPP. However, it estimates that its position in the AOP wine markets under MDF, under MDD, and under MPP is still below 5%.  </w:t>
        <w:br/>
        <w:t xml:space="preserve">31. Considering only the AOP wines corresponding to the Languedoc Roussillon region where the producer cooperatives affiliated with SCA Val d’Orbieu are located, the notifying party estimates the market share of the new entity to be approximately 20% with a low increment of around 2%. Segmented by color, the market share of the parties remains below 30% for red and rosé wines and is about 40% for white wines with an almost negligible increment. While it is unable to provide precise market shares based on commercial positioning, the notifying party estimates that the market share of the new entity will be around 20% in the Languedoc Roussillon AOP wine markets under MDF, under MDD, and under MPP.  </w:t>
        <w:br/>
        <w:t xml:space="preserve">32. Adopting the most conservative market definition by appellation, the operation results in a significant overlap of activities between the parties in the markets for the marketing of AOP Corbières and AOP Bergerac wines. Indeed, in the markets for wines marketed under AOP Bordeaux, Côtes de Provence, Côtes du Rhône, Côtes du Roussillon, Faugères, Fitou, Fronton, Languedoc, Languedoc Picpoul Pinet, Minervois, and Saint Chinian, the operation will result in a very low market share increment, always below 1%. In any case, the market share of the new entity will be below 15% for all of these AOPs. Therefore, the operation will have no effect on these markets.  </w:t>
        <w:br/>
        <w:t xml:space="preserve">The AOP Corbières  </w:t>
        <w:br/>
        <w:t xml:space="preserve">33. For AOP Corbières wines, the market shares of the new entity will be below 30% with an increment of less than 5%. It emerges from the market test that the five main national competitors of the new entity market AOP Corbières wines (Advini (9%), Castel (7%), Montcigale (5%), Prodis, Grand Chais de France). Other suppliers have also been mentioned by large retailers, including Gérard Bertrand, Caves du Languedoc Roussillon, Les Vignobles du Sud Roussillon, Le Hameau des Ollieux, FDL, Gamarvin, Vins Jean-Louis Parsat, Cave de Mont Tauch.  </w:t>
        <w:br/>
        <w:t xml:space="preserve">34. The parties both market AOP Corbières wines under MDF (approximately 8% of the parties' production in AOP Corbières) and under MPP (approximately 70% of the parties' production in AOP Corbières).  </w:t>
        <w:br/>
        <w:t xml:space="preserve">35. However, the notifying party has not been able to estimate the overall size of the AOP Corbières wine markets segmented by commercial positioning, nor to estimate its market share in the MDF and MPP segments. Indeed, it emerges from the investigation that the distinction between MPP on one hand and MDD and MDF on the other is relatively uncertain and makes it difficult to obtain significant numerical data.  </w:t>
        <w:br/>
        <w:t xml:space="preserve">36. However, the notifying party argues that there are several operators marketing AOP Corbières wines under MDF and MPP, which has been confirmed by respondents to the market test.  </w:t>
        <w:br/>
        <w:t xml:space="preserve">37. Furthermore, in the event of a price increase or a reduction in volumes of AOP wines under MDF or MPP marketed by the new entity to large retailers and hard discount stores, the ability of the main market players to react depends on the possibility of sourcing bulk wines from producers or producer cooperatives. However, in 2013, the cooperatives affiliated with Val d’Orbieu produced approximately 10% of the total annual production of AOP Corbières wines, and the members of the SCA of Razes and Malepère do not produce wines under AOP Corbières. Therefore, the competitors of the parties would have no difficulty reacting to a potential price increase or a reduction in volumes of AOP wines under MDF or MPP.  </w:t>
        <w:br/>
        <w:t xml:space="preserve">38. Finally, the customers of large retailers and hard discount stores surveyed in the market test believe that if the new entity decided to raise its prices for AOP Corbières, they would be able to find comparable alternative sources of supply in terms of quality and price.  </w:t>
        <w:br/>
        <w:t xml:space="preserve">The AOP Bergerac  </w:t>
        <w:br/>
        <w:t xml:space="preserve">39. For AOP Bergerac wines, the notifying party estimates that, following the operation, its market shares will be below 20%.  </w:t>
        <w:br/>
        <w:t xml:space="preserve">40. The parties both market AOP Bergerac wines under MDF (approximately 4% of the parties' production in AOP Bergerac) and under MPP (approximately 89% of the parties' production in AOP Bergerac).  </w:t>
        <w:br/>
        <w:t xml:space="preserve">41. However, the notifying party has not been able to estimate the overall size of the AOP Bergerac wine markets segmented by commercial positioning, nor to estimate their position in such markets.  </w:t>
        <w:br/>
        <w:t xml:space="preserve">42. However, it emerges from the responses of competitors to the market test that they are present both in a global market for the marketing of wines under AOP Bergerac and in markets segmented between the different distribution channels and between MDF and MPP. Following the operation, the new entity will thus continue to face competitors in all segments.  </w:t>
        <w:br/>
        <w:t xml:space="preserve">43. Furthermore, the vast majority of operators in large retail and hard discount stores surveyed believe that the operation is not likely to lead to negative effects on competition in France in the market for AOP Bergerac wines under MDF and under MPP.  </w:t>
        <w:br/>
        <w:t xml:space="preserve">44. Given the above elements, the operation is not likely to harm competition through horizontal effects on the various markets for the marketing of AOP wines.  </w:t>
        <w:br/>
        <w:t xml:space="preserve">DECIDES  </w:t>
        <w:br/>
        <w:t xml:space="preserve">Sole Article: The operation notified under number 12-193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