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w:t>
      </w:r>
    </w:p>
    <w:p>
      <w:r>
        <w:t>Pages translated : 5</w:t>
      </w:r>
    </w:p>
    <w:p/>
    <w:p>
      <w:r>
        <w:rPr>
          <w:b/>
        </w:rPr>
        <w:t>[Pages 1–3]</w:t>
      </w:r>
    </w:p>
    <w:p>
      <w:r>
        <w:t>FRENCH REPUBLIC</w:t>
        <w:br/>
        <w:t>Decision No. 10-DCC-33 of April 16, 2010</w:t>
        <w:br/>
        <w:t>regarding the exclusive control of the company Coutis by the</w:t>
        <w:br/>
        <w:t>company ITM Alimentaire Région Parisienne (ITM Entreprises group)</w:t>
        <w:br/>
        <w:t>The Competition Authority,</w:t>
        <w:br/>
        <w:t>Having regard to the notification file submitted in full to the merger service on March 16, 2009,</w:t>
        <w:br/>
        <w:t>regarding the acquisition of all the shares of the company Coutis by the company ITM</w:t>
        <w:br/>
        <w:t>Alimentaire Région Parisienne, formalized by a memorandum of understanding signed on February 11,</w:t>
        <w:br/>
        <w:t>2010;</w:t>
        <w:br/>
        <w:t>Having regard to Book IV of the Commercial Code relating to the freedom of prices and competition, and</w:t>
        <w:br/>
        <w:t>notably its Articles L. 430-1 to L. 430-7;</w:t>
        <w:br/>
        <w:t>Having regard to the supplementary elements transmitted by the parties during the investigation;</w:t>
        <w:br/>
        <w:t>Adopts the following decision:</w:t>
        <w:br/>
        <w:t>I. The concerned companies and the operation</w:t>
        <w:br/>
        <w:t>1. The company ITM Entreprises, 100% controlled by the Société civile des Mousquetaires,</w:t>
        <w:br/>
        <w:t>itself held by 1,330 natural persons known as "associated members," leads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The ITM Entreprises group achieved a total turnover excluding taxes of [20-30] billion euros during the last closed financial year ending December 31, 2008, of which [15-25] billion was in France.</w:t>
      </w:r>
    </w:p>
    <w:p>
      <w:r>
        <w:t>2. The company ITM Alimentaire Région Parisienne is a French law company owned at</w:t>
        <w:br/>
        <w:t>[&gt;50]% by the company ITM Alimentaire France, which is itself owned by the company ITM</w:t>
        <w:br/>
        <w:t>Entreprises.</w:t>
        <w:br/>
        <w:t>3. The company Coutis is a public limited company under French law that directly operates a predominantly food distribution business under the Intermarché brand, in the city of Othis (77). The capital of the company Coutis is currently held at [&gt;50]% by the X family. The company ITM Entreprises holds one share of the company Coutis, although this share does not confer any special rights. In 2008, the total turnover excluding taxes of Coutis, the last closed financial year, amounted to 22.1 million euros, exclusively achieved in France.</w:t>
        <w:br/>
        <w:t>4. According to the terms of the memorandum of understanding signed by the parties on February 11, 2010, ITM Alimentaire Région Parisienne committed to acquiring all the shares of the company Coutis. The notifying party emphasizes that the notified operation is provisional, and the acquired shares are to be transferred back as soon as possible to a new independent operator.</w:t>
        <w:br/>
        <w:t>5. Insofar as it results in the exclusive control of the company Coutis by ITM Entreprises, through its subsidiary ITM Alimentaire Région Parisienne, the notified operation constitutes a concentration within the meaning of Article L. 430-1 of the Commercial Code.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6. According to the consistent practice of national and community competition authorities, two categories of markets can be delineated in the sector of predominantly food distribution.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w:t>
        <w:br/>
        <w:t>1 See notably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DISTRIBUTION MARKETS</w:t>
        <w:br/>
        <w:t>1. SERVICE MARKETS</w:t>
        <w:br/>
        <w:t>7.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mail-order sales.</w:t>
        <w:br/>
        <w:t>8. Hypermarkets are usually defined as predominantly food stores with a sales area exceeding 2,500 m2. It should be noted, however, that these thresholds must be used with caution and may be adapted to the specific case, considering that stores whose area is close to a threshold, whether below or above, may be in direct competition in practice.</w:t>
        <w:br/>
        <w:t>9. In this case, the acquired store, located in Othis (77), currently occupies a sales area of 3,390 m2. This store therefore falls into the category of hypermarkets.</w:t>
        <w:br/>
        <w:t>2. GEOGRAPHICAL DELIMITATION</w:t>
        <w:br/>
        <w:t>10. In its recent decisions regarding operations involving hypermarkets or supermarkets, the Competition Authority has recalled that depending on the size of the stores involved, the conditions of competition should be assessed in two different areas:</w:t>
        <w:br/>
        <w:t>- a first area where the demand from consumers in one area meets the supply of hypermarkets to which they have access within less than 30 minutes of travel by car and which are, from their point of view, substitutable for each other;</w:t>
        <w:br/>
        <w:t>- a second area where the demand from consumers meets the supply of supermarkets and other equivalent forms of commerce, located within less than 15 minutes of travel time by car. These latter forms of commerce may include, in addition to supermarkets, hypermarkets and discount stores.</w:t>
        <w:br/>
        <w:t>11. Other criteria may nevertheless be taken into account to assess the impact of a concentration on the competitive situation in retail distribution markets, which may lead to refining, in the specific case, the usual delimitations presented above.</w:t>
      </w:r>
    </w:p>
    <w:p>
      <w:r>
        <w:rPr>
          <w:b/>
        </w:rPr>
        <w:t>[Pages 4–5]</w:t>
      </w:r>
    </w:p>
    <w:p>
      <w:r>
        <w:t xml:space="preserve">B. UPSTREAM SUPPLY MARKETS  </w:t>
        <w:br/>
        <w:t xml:space="preserve">12. Regarding the supply markets, the European Commission6 has identified the existence of national markets by major product groups, a delineation followed by national authorities7.  </w:t>
        <w:br/>
        <w:t xml:space="preserve">13. There is no reason to challenge this delineation on the occasion of the present operation.  </w:t>
        <w:br/>
        <w:t xml:space="preserve">III. Competitive Analysis  </w:t>
        <w:br/>
        <w:t xml:space="preserve">A. DOWNSTREAM FOOD DISTRIBUTION MARKETS  </w:t>
        <w:br/>
        <w:t xml:space="preserve">14. In the market comprising hypermarkets located within a 30-minute catchment area around Othis, the Intermarché operated by the target represents a 3.22% market share expressed in sales area (i.e., 3,390 m² out of a total area of 105,220 m²). Also present in the Othis area are two other Intermarché hypermarkets located in Senlis (5.38% market share for an area of 5,660 m²) and in Chelles (2.92% market share with an area of 3,075 m²). Hypermarkets operated under a brand of the ITM Entreprises group thus represent, in the catchment area, a cumulative market share of 11.52%. These stores face competition notably from three hypermarkets under the Carrefour brand (19,355 m², 18,000 m², and 12,000 m², representing 8.39%, 17.11%, and 11.4% of the sales areas respectively) and two hypermarkets under the E. Leclerc brand (7,300 m² and 6,000 m², representing 6.94% and 5.7% of the sales areas respectively).  </w:t>
        <w:br/>
        <w:t xml:space="preserve">15. In the market comprising supermarkets and other equivalent forms of commerce, located within a 15-minute catchment area around Othis, the Intermarché operated by the target represents 21.86% of the sales area (i.e., 3,390 m² out of a total area of 15,507 m²). Also present in the Othis area are two other Intermarché supermarkets located in Nanteuil-le-Haudouin and Moussy-le-Neuf, each holding a 9.67% market share for an area of 1,500 m². Hypermarkets and supermarkets operated under a brand of the ITM Entreprises group thus represent, in the 15-minute catchment area around Othis, a cumulative market share of 41.21%. These stores face competition notably from a hypermarket under the E. Leclerc brand (4,761 m², representing a market share of 30.7%), a supermarket under the Carrefour Market brand (1,800 m², representing a market share of 11.6%), and three discount stores (Aldi, Leader Price, and Lidl, each with just over 5% market share).  </w:t>
        <w:br/>
        <w:t xml:space="preserve">16. Given the above, the present operation is not likely to harm competition in the considered markets.  </w:t>
        <w:br/>
        <w:t xml:space="preserve">6 See the decisions of the Commission M.1684 Carrefour/Promodès of January 25, 2000, and M. 2115 Carrefour/GB of September 28, 2000.  </w:t>
        <w:br/>
        <w:t xml:space="preserve">7 See notably the decisions of the minister in the sector, C2005-98, Carrefour/Penny Market of November 10, 2005, C2006-15 Carrefour/Groupe Hamon of April 14, 2006, C2007-172 regarding the creation of the joint venture Plamidis of February 13, 2008, and C2008-32 Carrefour/SAGC of July 9, 2008.  </w:t>
        <w:br/>
        <w:t xml:space="preserve">B. UPSTREAM SUPPLY MARKETS  </w:t>
        <w:br/>
        <w:t xml:space="preserve">17. Regarding the upstream supply markets, the operation, which concerns only one store, is not likely to significantly strengthen the purchasing power of the ITM Entreprises group, across all products as well as by major product groups.  </w:t>
        <w:br/>
        <w:t xml:space="preserve">DECIDES  </w:t>
        <w:br/>
        <w:t xml:space="preserve">Single Article: The operation notified under number 10-0029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