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https://www.autoritedelaconcurrence.fr/fr/decision-de-controle-des-concentrations/relative-la-prise-de-controle-exclusive-des-societes-garage</w:t>
      </w:r>
    </w:p>
    <w:p>
      <w:r>
        <w:t>Pages translated : 2</w:t>
      </w:r>
    </w:p>
    <w:p/>
    <w:p>
      <w:r>
        <w:rPr>
          <w:b/>
        </w:rPr>
        <w:t>[Pages 1–2]</w:t>
      </w:r>
    </w:p>
    <w:p>
      <w:r>
        <w:t xml:space="preserve">FRENCH REPUBLIC  </w:t>
        <w:br/>
        <w:t xml:space="preserve">Decision No. 17-DCC-203 of November 30, 2017  </w:t>
        <w:br/>
        <w:t>regarding the exclusive control acquisition of the companies Garage du Stade SAS, Centre Alsace Automobiles CAA SAS, and Services Automobiles les Garages Bader SAS by the company Centrale Automobile Strasbourg</w:t>
      </w:r>
    </w:p>
    <w:p>
      <w:r>
        <w:t>The Competition Authority,</w:t>
      </w:r>
    </w:p>
    <w:p>
      <w:r>
        <w:t>Having regard to the complete notification file submitted to the mergers department on November 2, 2017, concerning the exclusive control acquisition of the companies Garage du Stade SAS, Centre Alsace Automobiles CAA SAS, and Services Automobiles les Garages Bader SAS by the company Centrale Automobile Strasbourg, formalized by a share purchase agreement dated October 18, 2017;</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by the company Centrale Automobile Strasbourg of the companies Garage du Stade SAS, Centre Alsace Automobiles CAA SAS, and Services Automobiles les Garages Bader SAS, which are active in the automotive distribution market.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the markets for the distribution of vehicles, spare parts and automotive accessories, automotive maintenance and repair services, and vehicle rental. These markets are consistently defined by the decision-making practice of the Competition Authority.  </w:t>
        <w:br/>
        <w:t xml:space="preserve">3. Regardless of the segmentations retained, the estimated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17-235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