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https://www.autoritedelaconcurrence.fr/fr/decision-de-controle-des-concentrations/relative-la-prise-de-controle-par-distribution-casino</w:t>
      </w:r>
    </w:p>
    <w:p>
      <w:r>
        <w:t>Pages translated : 5</w:t>
      </w:r>
    </w:p>
    <w:p/>
    <w:p>
      <w:r>
        <w:rPr>
          <w:b/>
        </w:rPr>
        <w:t>[Pages 1–3]</w:t>
      </w:r>
    </w:p>
    <w:p>
      <w:r>
        <w:t xml:space="preserve">RÉPUBLIQUE FRANÇAISE  </w:t>
        <w:br/>
        <w:t xml:space="preserve">Decision No. 10-DCC-108 of September 16, 2010  </w:t>
        <w:br/>
        <w:t xml:space="preserve">regarding the acquisition of control by Distribution Casino France over two  </w:t>
        <w:br/>
        <w:t>businesses</w:t>
      </w:r>
    </w:p>
    <w:p>
      <w:r>
        <w:t xml:space="preserve">The Competition Authority,  </w:t>
        <w:br/>
        <w:t xml:space="preserve">Having regard to the notification file submitted in full to the merger service on August 12, 2010,  </w:t>
        <w:br/>
        <w:t xml:space="preserve">regarding the acquisition of control by the company Distribution Casino France over two businesses, formalized by the framework agreement protocol concerning the transfer of two supermarket and gas station businesses dated July 30, 2010;  </w:t>
        <w:br/>
        <w:t xml:space="preserve">Having regard to Book IV of the Commercial Code relating to the freedom of prices and competition, and in particular its Articles L. 430-1 to L. 430-7;  </w:t>
        <w:br/>
        <w:t>Adopts the following decision:</w:t>
      </w:r>
    </w:p>
    <w:p>
      <w:r>
        <w:t xml:space="preserve">I. The companies concerned and the operation  </w:t>
        <w:br/>
        <w:t xml:space="preserve">1. The company Distribution Casino France (hereinafter "DCF") is a subsidiary of the Casino Guichard Perrachon group (hereinafter "Casino group") engaged in a predominantly food distribution activity. The Casino group manages a network of over 10,000 stores (hypermarkets, supermarkets, convenience stores, discount stores) under the brands Casino, Franprix, Spar, Vival, and Leader Price. The Casino group also exercises joint control with the Galeries Lafayette group over the Monoprix group. Furthermore, it is present in the online distribution sector of non-food products under the brand Cdiscount. The Casino group is controlled directly and indirectly by the company Euris, which is itself controlled by Mr. Jean-Charles Naouri. Its total worldwide turnover excluding taxes in 2009 amounted to 26.7 billion euros, of which 17.6 billion euros were in France.  </w:t>
        <w:br/>
        <w:t xml:space="preserve">2. The two targets of the operation are two points of sale operated under the Simply Market brand, which is itself a brand of the ATAC group (hereinafter "ATAC"). ATAC is a supermarket operating company primarily focused on food. The first point of sale is a hypermarket of 2,718 m² located in Salaise-sur-Sanne in the department of Isère. The second point of sale is a supermarket of 1,119 m² located in Feurs in the department of Loire. The combined turnover of the two points of sale amounted in 2009 to nearly 25 million euros, achieved almost exclusively in France. The operation, formalized by a framework agreement protocol dated July 30, 2010, also aims at the acquisition of the two related real estate complexes, consisting of a shopping mall for the Salaise-sur-Sanne site and registered land plots for both sites.  </w:t>
        <w:br/>
        <w:t>3. As it results in the acquisition of control over the target businesses, the operation constitutes a concentration within the meaning of Article L. 430-1 of the Commercial Code. Given the turnover of the companies concerned, it does not constitute a community dimension. However, the control thresholds applicable to retail trade mentioned in point II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 xml:space="preserve">4. According to the consistent practice of national and community competition authorities, two categories of markets can be delineated in the predominantly food distribution sector. On the one hand, there are "downstream" markets, of a local dimension, which bring together retail companies and consumers for the sale of consumer goods, and on the other hand, "upstream" markets for the supply of retail companies with consumer goods, of a national dimension.  </w:t>
        <w:br/>
        <w:t xml:space="preserve">A. DOWNSTREAM MARKETS OF FOOD DISTRIBUTION  </w:t>
        <w:br/>
        <w:t xml:space="preserve">1. SERVICE MARKETS  </w:t>
        <w:br/>
        <w:t xml:space="preserve">8. Regarding the retail sale of consumer goods, both community and national competition authorities have distinguished six categories of trade using several criteria, including store size, sales techniques, accessibility, the nature of the service provided, and the range of products offered: (i) hypermarkets, (ii) supermarkets, (iii) specialized trade, (iv) small retail trade, (v) large discount stores, (vi) mail order sales.  </w:t>
        <w:br/>
        <w:t xml:space="preserve">9. Hypermarkets are usually defined as stores with a predominant food focus with a sales area equal to or greater than 2,500 m². Supermarkets are usually defined as having a sales area of less than 2,500 m² and greater than 400 m². However, it should be noted that these thresholds should be used with caution, and may need to be adapted to the specific case, considering the fact that stores with a surface area close to a threshold, either below or above, may find themselves in direct competition in practice.  </w:t>
        <w:br/>
        <w:t xml:space="preserve">10. In this case, the store located in Salaise-sur-Sanne occupies a sales area of 2,686 m² and falls into the category of hypermarkets. The store in Feurs, with 1,117 m², is a supermarket.  </w:t>
        <w:br/>
        <w:t xml:space="preserve">2. GEOGRAPHIC MARKETS  </w:t>
        <w:br/>
        <w:t xml:space="preserve">11. In its recent decisions concerning operations involving hypermarkets or supermarkets, the Competition Authority has reiterated that two types of markets are usually distinguished, based on the catchment areas:  </w:t>
        <w:br/>
        <w:t xml:space="preserve">- a first market where the demand of consumers from an area meets the supply of hypermarkets to which they have access within less than 30 minutes of driving and which are, from their point of view, substitutable for each other;  </w:t>
        <w:br/>
        <w:t xml:space="preserve">- a second market where the demand of consumers meets the supply of supermarkets and equivalent forms of trade, located within less than 15 minutes of driving time. These latter forms of trade may include, in addition to supermarkets, hypermarkets located near consumers and discount stores.  </w:t>
        <w:br/>
        <w:t xml:space="preserve">12. Other criteria may nevertheless be taken into account to assess the impact of a concentration on the competitive situation in retail distribution markets, which may lead to refining, in the specific case, the usual delineations presented above. The Minister of Economy has noted that there may be some competition between supermarkets, even convenience stores, and hypermarkets. The latter are indeed considered direct competitors of supermarkets when they are located within the catchment area of the concerned supermarket.  </w:t>
        <w:br/>
        <w:t xml:space="preserve">B. UPSTREAM SUPPLY MARKETS  </w:t>
        <w:br/>
        <w:t>13. Regarding the "upstream" supply markets, the Commission, in its decision M. 2115 Carrefour/GB of September 28, 2000, found that these markets include "the sale of consumer goods by producers to customers such as wholesalers, retailers, or other businesses (for example, cafes, hotels, restaurants). The Commission has acknowledged that it is a market allocation by product group that is generally considered the best." The French decision-making practice adopts this definition.</w:t>
      </w:r>
    </w:p>
    <w:p>
      <w:r>
        <w:rPr>
          <w:b/>
        </w:rPr>
        <w:t>[Pages 4–5]</w:t>
      </w:r>
    </w:p>
    <w:p>
      <w:r>
        <w:t>14. Regarding the geographic dimension of these supply markets, the European Commission has identified the existence of national markets by major product groups, a delineation followed by national authorities7.</w:t>
      </w:r>
    </w:p>
    <w:p>
      <w:r>
        <w:t>15. There is no reason to challenge these delineations in the context of this decision.</w:t>
      </w:r>
    </w:p>
    <w:p>
      <w:r>
        <w:t>III. Competitive Analysis</w:t>
      </w:r>
    </w:p>
    <w:p>
      <w:r>
        <w:t>16. The competitive analysis is conducted based on the locations and sales areas of stores provided by the parties.</w:t>
      </w:r>
    </w:p>
    <w:p>
      <w:r>
        <w:t>17. Concerning the hypermarket located in Salaise-sur-Sanne, the first downstream market, including hypermarkets located within a 30-minute catchment area around Salaise-Sur-Sanne, represents a commercial sales area of more than 20,000 m². With 2,718 m², the market share of the Simply Market hypermarket in Salaise-Sur-Sanne amounts to just over 13%. A hypermarket under the Géant Casino brand is present in this area, representing a sales area of 5,200 m², or 25.5% of the total in this area. The cumulative market share of the Casino group will thus rise after the operation, with a commercial sales area of 7,918 m², to nearly 39%.</w:t>
      </w:r>
    </w:p>
    <w:p>
      <w:r>
        <w:t>18. However, this market share must be put into perspective given the presence of competing hypermarkets located near the store involved in the operation. Thus, two hypermarkets, one under the Carrefour brand of 4,800 m² (representing 23% of the relevant market) and another under the Intermarché brand of 2,600 m² (representing 13% of the relevant market), are located directly along National Road No. 7 in the designated catchment area. Another hypermarket under the Intermarché brand of 2,600 m² (representing a market share of 13%) is located in immediate proximity to National Road and the town of Salaise-Sur-Sanne itself. Finally, a fourth hypermarket of 2,500 m² under the Leclerc brand (representing a market share of over 12%) is located in the town of Saint Clair de Rhône, included in the catchment area.</w:t>
      </w:r>
    </w:p>
    <w:p>
      <w:r>
        <w:t>19. In the second downstream market encompassing all hypermarkets, supermarkets, and discount stores located within a 15-minute travel radius around Salaise-Sur-Sanne, the sales area of the Casino group stores present in this area represents just over 19% of the total. Several hypermarkets, supermarkets, and maxi-discount stores under the brands of Carrefour, Intermarché, Lidl, and Aldi are also present in this area.</w:t>
      </w:r>
    </w:p>
    <w:p>
      <w:r>
        <w:t>20. Regarding the supermarket located in Feurs, the Casino group is present, prior to the operation, in the catchment area consisting of a 15-minute travel radius around this town, only through two convenience stores representing 2% and 1% of the market, respectively. After the acquisition of the Simply Market supermarket, the cumulative market share of the Casino group will be 13%. Also present in this area is a Carrefour hypermarket of 6,120 m², representing over 50% of the considered market, an Intermarché supermarket of 1,800 m², representing 15% of the market, a Carrefour supermarket of 1,200 m², representing 10% of the market, and two maxi-discount stores, Lidl and Aldi, representing 8% and 3% of the market, respectively.</w:t>
      </w:r>
    </w:p>
    <w:p>
      <w:r>
        <w:t>21. Considering all these elements, the operation is not likely to harm competition in the downstream markets of food distribution concerned.</w:t>
      </w:r>
    </w:p>
    <w:p>
      <w:r>
        <w:t>22. Regarding the upstream supply markets, the operation, limited to two stores, is not likely to significantly strengthen the purchasing power of the Casino group at the national level, across all products as well as by major product groups.</w:t>
      </w:r>
    </w:p>
    <w:p>
      <w:r>
        <w:t>DECIDES</w:t>
      </w:r>
    </w:p>
    <w:p>
      <w:r>
        <w:t>Sole Article: The operation notified under number 10-0134 is authorized.</w:t>
      </w:r>
    </w:p>
    <w:p>
      <w:r>
        <w:t>The Vice-President,</w:t>
        <w:br/>
        <w:t>Françoise Aubert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