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https://www.autoritedelaconcurrence.fr/fr/decision-de-controle-des-concentrations/relative-la-prise-de-controle-par-la-sas-ac-invest-de-la-sa</w:t>
      </w:r>
    </w:p>
    <w:p>
      <w:r>
        <w:t>Pages translated : 4</w:t>
      </w:r>
    </w:p>
    <w:p/>
    <w:p>
      <w:r>
        <w:rPr>
          <w:b/>
        </w:rPr>
        <w:t>[Pages 1–3]</w:t>
      </w:r>
    </w:p>
    <w:p>
      <w:r>
        <w:t xml:space="preserve">RÉPUBLIQUE FRANÇAISE  </w:t>
        <w:br/>
        <w:t xml:space="preserve">Decision No. 10-DCC-105 of September 2, 2010  </w:t>
        <w:br/>
        <w:t>regarding the acquisition of control by SAS AC Invest over SA GT Cuynet Automobiles</w:t>
      </w:r>
    </w:p>
    <w:p>
      <w:r>
        <w:t xml:space="preserve">The Competition Authority,  </w:t>
        <w:br/>
        <w:t xml:space="preserve">Having regard to the notification file submitted in full to the concentrations service on July 30, 2010, regarding the acquisition of control by SAS AC Invest over SA GT Cuynet Automobiles, formalized by the conditional share transfer agreement signed on July 27, 2010;  </w:t>
        <w:br/>
        <w:t xml:space="preserve">Having regard to Book IV of the Commercial Code relating to the freedom of prices and competition, and in particular Articles L. 430-1 to L. 430-7;  </w:t>
        <w:br/>
        <w:t>Adopts the following decision:</w:t>
      </w:r>
    </w:p>
    <w:p>
      <w:r>
        <w:t xml:space="preserve">I. The companies concerned and the operation  </w:t>
        <w:br/>
        <w:t xml:space="preserve">1. SAS AC Invest (hereinafter "AC Invest") is the holding company of the Cassard family group. AC Invest holds 100% of the capital of the companies SAS Espace 3000 (hereinafter "Espace 3000") operating two car dealerships in Besançon and Belfort, SAS Espace 3000 Vesoul (hereinafter "Espace 3000 Vesoul") operating two car dealerships in Vesoul and Luxeuil, and SAS Autoservice Cassard (hereinafter "Autoservice Cassard") located in Besançon. Espace 3000 and Espace 3000 Vesoul are active in the sale of new vehicles for individuals and professionals from brands exclusively belonging to the Volkswagen group and the sale of used vehicles of all brands, primarily those of the Volkswagen group. They also offer services for the distribution of accessories, spare parts, and automotive repair and maintenance for the brands of this same group under the status of authorized repairers. For its part, the company Autoservice Cassard mainly offers services for the sale of spare parts and automotive repair for all brands. It also distributes new and used vehicles of all brands.  </w:t>
        <w:br/>
        <w:t>2. In 2009, the Cassard group achieved a worldwide turnover excluding tax of 76 million euros, of which 75 million in France.</w:t>
      </w:r>
    </w:p>
    <w:p>
      <w:r>
        <w:t xml:space="preserve">3. The company SA GT Cuynet Automobiles (hereinafter "GT Cuynet") is 95% owned by SAS G Cuynet (hereinafter "G Cuynet"), the holding company of the Cuynet family group. The remaining 5% of GT Cuynet's capital is directly held by members of the Cuynet family and two individuals. GT Cuynet operates a car dealership located in Pontarlier, distributing new vehicles from brands of the Volkswagen group and used vehicles of all brands, primarily those of the Volkswagen group. It also offers services for the distribution of accessories, spare parts, automotive repair, and maintenance for the brands of this same group.  </w:t>
        <w:br/>
        <w:t xml:space="preserve">4. In 2009, GT Cuynet achieved a worldwide turnover excluding tax of 20.4 million euros, of which 20.2 million in France.  </w:t>
        <w:br/>
        <w:t xml:space="preserve">5. According to the share transfer agreement signed on July 27, 2010, it is provided that all shares and voting rights of the company GT Cuynet will be transferred to the company AC Invest on September 30, 2010.  </w:t>
        <w:br/>
        <w:t>6. As it results in the exclusive control of GT Cuynet by AC Invest, the notified operation constitutes a concentration operation within the meaning of Article L. 430-1 of the Commercial Code. Given the turnover of the companies concerned, it does not have a community dimension. On the other hand, the control thresholds applicable to retail trade mentioned in point II of Article L. 430-2 of the Commercial Code are exceeded. The present operation is therefore subject to the provisions of Articles L. 430-3 and following of the Commercial Code relating to economic concentration.</w:t>
      </w:r>
    </w:p>
    <w:p>
      <w:r>
        <w:t xml:space="preserve">II. Delimitation of the relevant markets  </w:t>
        <w:br/>
        <w:t xml:space="preserve">A. THE RELEVANT SERVICE MARKETS  </w:t>
        <w:br/>
        <w:t xml:space="preserve">5. In the automotive distribution sector, the decision-making practice distinguishes:  </w:t>
        <w:br/>
        <w:t xml:space="preserve">- the distribution of new passenger motor vehicles intended for individual customers;  </w:t>
        <w:br/>
        <w:t xml:space="preserve">- the distribution of new passenger motor vehicles intended for professional customers;  </w:t>
        <w:br/>
        <w:t xml:space="preserve">- the distribution of commercial motor vehicles (including light commercial vehicles);  </w:t>
        <w:br/>
        <w:t xml:space="preserve">- the distribution of used motor vehicles;  </w:t>
        <w:br/>
        <w:t xml:space="preserve">- the distribution of spare parts and automotive accessories;  </w:t>
        <w:br/>
        <w:t xml:space="preserve">- vehicle maintenance and repair services;  </w:t>
        <w:br/>
        <w:t xml:space="preserve">- rental services.  </w:t>
        <w:br/>
        <w:t>1 See for example the decisions of the Competition Authority No. 09-DCC-25 of July 24, 2009, regarding the acquisition of the company Automobiles Saint Loises and the SCI Ludelise Vire by the company François Mary Développement, or No. 09-DCC-14 of June 24, 2009, regarding the acquisition by the Tuppin group of the automotive business assets belonging to the GTI group.</w:t>
      </w:r>
    </w:p>
    <w:p>
      <w:r>
        <w:t xml:space="preserve">6. There is no need to challenge these boundaries during the examination of the present operation.  </w:t>
        <w:br/>
        <w:t xml:space="preserve">7. The competitive analysis will focus exclusively on the markets where the parties are simultaneously active, namely:  </w:t>
        <w:br/>
        <w:t xml:space="preserve">- the distribution of new passenger motor vehicles intended for individual customers;  </w:t>
        <w:br/>
        <w:t xml:space="preserve">- the distribution of commercial motor vehicles (including light commercial vehicles);  </w:t>
        <w:br/>
        <w:t xml:space="preserve">- the distribution of used motor vehicles;  </w:t>
        <w:br/>
        <w:t xml:space="preserve">- the distribution of spare parts and automotive accessories;  </w:t>
        <w:br/>
        <w:t>- vehicle maintenance and repair services.</w:t>
      </w:r>
    </w:p>
    <w:p>
      <w:r>
        <w:t xml:space="preserve">B. THE GEOGRAPHIC MARKETS  </w:t>
        <w:br/>
        <w:t xml:space="preserve">9. Regarding the retail markets for motor vehicles, new or used, the distribution of spare parts and automotive accessories, and vehicle maintenance and repair services, the decision-making practice retains a local geographic dimension. In fact, the analysis of the markets for the sale of new vehicles is generally conducted at the departmental level.  </w:t>
        <w:br/>
        <w:t>10. In this case, the parties are simultaneously present in the Doubs department, the target company being located in Pontarlier and AC Invest being active in this department through the companies Espace 3000 and Autoservice Cassard, both located in Besançon. Consequently, the competitive analysis will be conducted at the level of the Doubs department.</w:t>
      </w:r>
    </w:p>
    <w:p>
      <w:r>
        <w:t xml:space="preserve">III. Competitive analysis  </w:t>
        <w:br/>
        <w:t xml:space="preserve">11. Regarding the calculation of market shares, the decision-making practice retains as an indicator the ratio between the vehicle sales made by the parties in the departments concerned by the operation and the total number of vehicle registrations recorded in these same departments by the prefectures.  </w:t>
        <w:br/>
        <w:t xml:space="preserve">12. In the market for the distribution of new passenger vehicles, the market share by volume of the Cassard group, out of the 27,588 registrations recorded in 2009 by the prefecture of Doubs, is 3.6% and that of the company GT Cuynet is 1.7%. Thus, following the operation, the combined market share by volume of the new entity will correspond to 5.3% of the total sales of new passenger vehicles in the Doubs department.  </w:t>
        <w:br/>
        <w:t>17. In the market for the distribution of new commercial vehicles, the market share by volume of the Cassard group, out of the 3,801 registrations recorded in 2009 in the department...</w:t>
      </w:r>
    </w:p>
    <w:p>
      <w:r>
        <w:rPr>
          <w:b/>
        </w:rPr>
        <w:t>[Pages 4–4]</w:t>
      </w:r>
    </w:p>
    <w:p>
      <w:r>
        <w:t>of Doubs, amounts to 2% of sales and that of GT Cuynet to 0.3%. Thus, following the operation, the combined market share in volume of the new entity will correspond to 2.3% of the total sales of new commercial vehicles in the department of Doubs.</w:t>
      </w:r>
    </w:p>
    <w:p>
      <w:r>
        <w:t>18. In the market for the distribution of used vehicles, the market share of the Cassard group, out of the 56,607 sales made in the department of Doubs in 2009, is estimated at 1.9% and that of the company GT Cuynet at 1.1%. Thus, following the operation, the combined market share of the new entity will correspond to 3% of the sales of used vehicles in the department of Doubs.</w:t>
      </w:r>
    </w:p>
    <w:p>
      <w:r>
        <w:t>22. In the retail markets for spare parts and automotive accessories and for vehicle maintenance and repair services, the parties have not been able to provide their market shares. However, it should be noted that the new entity will continue to face competition from other dealers present in Doubs, as well as from numerous garages and specialized brands (Feu Vert, Point S, or Midas), which may offer consumers spare parts and accessories that are identical or of equivalent quality to those distributed by the parties.</w:t>
      </w:r>
    </w:p>
    <w:p>
      <w:r>
        <w:t>23. Given these elements, the operation is not likely to harm competition in the relevant markets.</w:t>
      </w:r>
    </w:p>
    <w:p>
      <w:r>
        <w:t>DECIDES</w:t>
      </w:r>
    </w:p>
    <w:p>
      <w:r>
        <w:t>Sole Article: The operation notified under number 10-0116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