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https://www.autoritedelaconcurrence.fr/fr/decision-de-controle-des-concentrations/relative-la-prise-de-controle-par-la-societe-0</w:t>
      </w:r>
    </w:p>
    <w:p>
      <w:r>
        <w:t>Pages translated : 5</w:t>
      </w:r>
    </w:p>
    <w:p/>
    <w:p>
      <w:r>
        <w:rPr>
          <w:b/>
        </w:rPr>
        <w:t>[Pages 1–3]</w:t>
      </w:r>
    </w:p>
    <w:p>
      <w:r>
        <w:t xml:space="preserve">FRENCH REPUBLIC  </w:t>
        <w:br/>
        <w:t xml:space="preserve">Decision No. 14-DCC-172 of November 24, 2014  </w:t>
        <w:br/>
        <w:t>regarding the acquisition of control by the operating company Amidis et Compagnie of the company Pasdel</w:t>
      </w:r>
    </w:p>
    <w:p>
      <w:r>
        <w:t xml:space="preserve">The Competition Authority,  </w:t>
        <w:br/>
        <w:t xml:space="preserve">Having regard to the notification file submitted in full to the merger service on November 5, 2014, regarding the acquisition of control by the operating company Amidis et Compagnie of the company Pasdel, formalized by a protocol of agreement dated October 23, 2014;  </w:t>
        <w:br/>
        <w:t xml:space="preserve">Having regard to Book IV of the Commercial Code relating to the freedom of prices and competition, and in particular its Articles L. 430-1 to L. 430-7;  </w:t>
        <w:br/>
        <w:t>Adopts the following decision:</w:t>
      </w:r>
    </w:p>
    <w:p>
      <w:r>
        <w:t xml:space="preserve">I. The companies concerned and the operation  </w:t>
        <w:br/>
        <w:t>1. The company Amidis et Cie is a subsidiary of Carrefour, a group active in food-dominant distribution. In France, the Carrefour group operates hypermarkets under the Carrefour and Champion brands and supermarkets under the Champion and Carrefour Market brands. It also operates convenience stores under the Carrefour City, Carrefour Contact, Shopi, 8 à Huit, Marché plus, and Proxi brands. Carrefour also enters into branding and supply contracts with companies operating food-dominant retail stores, allowing these companies to operate their points of sale under one of the Carrefour group brands, to source from its purchasing centers, to benefit from purchasing conditions negotiated by Carrefour with suppliers referenced by Carrefour, and to benefit from the services offered by Carrefour. Finally, Carrefour notified the exclusive acquisition of the activities of the Dia group in France on September 25, 2014.</w:t>
      </w:r>
    </w:p>
    <w:p>
      <w:r>
        <w:t>2. Pasdel is a company active in food-dominant distribution. Controlled prior to the operation by the Deleau/Sellie parties, it operates, through the company Dorel, which it holds exclusive control over, a point of sale formerly under the Intermarché brand, located in Crouy in the Aisne (02).</w:t>
      </w:r>
    </w:p>
    <w:p>
      <w:r>
        <w:t>3. The notified operation, formalized by the transfer protocol dated October 23, 2014, consists of the acquisition by the company Amidis et Cie of the shares of the company Pasdel held by the Deleau/Sellie parties.</w:t>
      </w:r>
    </w:p>
    <w:p>
      <w:r>
        <w:t>4. As it results in the exclusive control of the company Pasdel and its subsidiary, the company Dorel, by the company Amidis et Cie, the operation constitutes a concentration within the meaning of Article L. 430-1 of the Commercial Code.</w:t>
      </w:r>
    </w:p>
    <w:p>
      <w:r>
        <w:t>5. The companies concerned operate several retail stores and together achieve a total worldwide turnover of more than 75 million euros (Carrefour: 74.89 billion euros for the fiscal year ending December 31, 2013; Pasdel: 23.3 million euros for the same fiscal year). The companies concerned achieve in France in the retail sector a turnover exceeding 15 million euros (Carrefour: 35.4 billion euros for the fiscal year ending December 31, 2013; Pasdel: 23.3 million euros for the same fiscal year). Given these turnover figures, it does not have a community dimension. On the other hand, the control thresholds applicable to retail mentioned in point II of Article L. 430-2 of the Commercial Code are exceeded. The present operation is therefore subject to the provisions of Articles L. 430-3 and following of the Commercial Code relating to economic concentration.</w:t>
      </w:r>
    </w:p>
    <w:p>
      <w:r>
        <w:t xml:space="preserve">II. Definition of relevant markets  </w:t>
        <w:br/>
        <w:t>6. According to the decision-making practice of national and community competition authorities, two categories of markets can be defined in the food-dominant distribution sector. These are, on the one hand, "downstream" markets, of a local dimension, which bring together retail companies and consumers for the sale of consumer goods, and, on the other hand, "upstream" markets for the supply of retail companies with everyday consumer goods, of a national dimension.</w:t>
      </w:r>
    </w:p>
    <w:p>
      <w:r>
        <w:t xml:space="preserve">A. DOWNSTREAM MARKETS OF DISTRIBUTION  </w:t>
        <w:br/>
        <w:t xml:space="preserve">1. SERVICE MARKETS  </w:t>
        <w:br/>
        <w:t xml:space="preserve">7. Regarding the retail sale of everyday consumer goods, both community and national competition authorities have distinguished six categories of commerce using several criteria, including store size, sales techniques, accessibility, the nature of the service provided, and the range of products offered:  </w:t>
        <w:br/>
        <w:t xml:space="preserve">1 See in particular the decisions of the Competition Authority No. 12-DCC-48 of April 6, 2012, regarding the exclusive acquisition of the company Sofides by the company ITM Entreprises, and decision No. 12-DCC-125 of August 27, 2012, regarding the joint acquisition of 28 food-dominant retail stores by the Union of Alsace Cooperators and the Association of E.Leclerc Distributor Centers.  </w:t>
        <w:br/>
        <w:t>2 See in particular the decision of the European Commission M. 1221, Rewe / Meinl of February 3, 1999, and M. 1684, Carrefour / Promodès, of January 25, 2000.</w:t>
      </w:r>
    </w:p>
    <w:p>
      <w:r>
        <w:t>(i) hypermarkets, (ii) supermarkets, (iii) specialized trade, (iv) small retail trade, (v) discount stores, (vi) mail order sales.</w:t>
      </w:r>
    </w:p>
    <w:p>
      <w:r>
        <w:t>8. Hypermarkets are usually defined as food-dominant stores with a sales area equal to or greater than 2,500 m², supermarkets as food-dominant stores with a sales area less than 2,500 m² and greater than 400 m², and mini-markets as food-dominant stores with a sales area less than 400 m² and greater than 120 m².</w:t>
      </w:r>
    </w:p>
    <w:p>
      <w:r>
        <w:t>9. In this case, the company Dorel operates a store under the Intermarché brand and occupies a sales area of 4,000 m² since its transfer and expansion on August 27, 2013. This point of sale therefore falls into the category of hypermarkets.</w:t>
      </w:r>
    </w:p>
    <w:p>
      <w:r>
        <w:t xml:space="preserve">2. GEOGRAPHICAL DELIMITATION  </w:t>
        <w:br/>
        <w:t xml:space="preserve">10. It follows from decision-making practice that the competitive conditions relating to supermarkets and hypermarkets are assessed in two different areas according to the size of the stores:  </w:t>
        <w:br/>
        <w:t xml:space="preserve">- a market where consumer demand meets the supply of supermarkets and equivalent forms of commerce located within a 15-minute drive. These latter forms of commerce may include, in addition to supermarkets, hypermarkets located near consumers and discount stores;  </w:t>
        <w:br/>
        <w:t>- a second market where consumer demand from an area meets the supply of hypermarkets that they can access within a 30-minute drive and which are, from their point of view, substitutable for each other.</w:t>
      </w:r>
    </w:p>
    <w:p>
      <w:r>
        <w:t>11. Competition authorities consider that, while each category of store retains its specificity, there is asymmetric competition between some of these categories. Indeed, while the service provided overall by hypermarkets (product diversity, depth of ranges, accessibility, low prices) is specific and not provided by any other form of commerce, the size criterion that determines, between supermarkets and hypermarkets, the extent of the assortment of ranges must be used in each case with caution, as stores whose area is close to the threshold that serves to distinguish them (2,500 m²), whether below or above, may in fact be in direct competition. The conditions under which the market actually operates are therefore taken into account, notably the fact that, in a number of geographical configurations, a hypermarket may be habitually used by some consumers as a convenience store, substituting for a supermarket. Conversely, the reverse is almost never verified and is even less so as the size of the hypermarket in question is significant.</w:t>
      </w:r>
    </w:p>
    <w:p>
      <w:r>
        <w:t>12. The Authority, however, consistently reminds that these delimitations are subject to change on a case-by-case basis, depending on the characteristics of the local area. The attractiveness of stores of the same format may vary according to the density and quality of the equipment.</w:t>
      </w:r>
    </w:p>
    <w:p>
      <w:r>
        <w:rPr>
          <w:b/>
        </w:rPr>
        <w:t>[Pages 4–5]</w:t>
      </w:r>
    </w:p>
    <w:p>
      <w:r>
        <w:t>commercial area. The socio-economic characteristics of the area concerned (population density, economic activity, geography, state of the road network) may also lead to refining, in the specific case, the usual boundaries presented above.</w:t>
      </w:r>
    </w:p>
    <w:p>
      <w:r>
        <w:t>13. In this case, the store in question falls into the category of hypermarkets, and the competitive analysis will therefore be conducted on a market comprising only hypermarkets, on the one hand, and a market comprising supermarkets and equivalent forms of commerce (hypermarkets, hard discount, and popular stores) excluding small retail businesses (less than 400 m²), on the other hand.</w:t>
      </w:r>
    </w:p>
    <w:p>
      <w:r>
        <w:t>B. UPSTREAM SUPPLY MARKETS</w:t>
      </w:r>
    </w:p>
    <w:p>
      <w:r>
        <w:t>14. Regarding the supply markets, the European Commission has considered the existence of markets of national dimension by major product groups, a delimitation followed by the national authorities.</w:t>
      </w:r>
    </w:p>
    <w:p>
      <w:r>
        <w:t>15. There is no need to challenge this delimitation in the context of the present operation.</w:t>
      </w:r>
    </w:p>
    <w:p>
      <w:r>
        <w:t>III. Competitive Analysis</w:t>
      </w:r>
    </w:p>
    <w:p>
      <w:r>
        <w:t>A. DOWNSTREAM MARKET FOR FOOD-DOMINANT RETAIL DISTRIBUTION</w:t>
      </w:r>
    </w:p>
    <w:p>
      <w:r>
        <w:t>16. The market comprising only hypermarkets located within a 30-minute drive from the target store represents a commercial sales area of more than 42,000 m². The target store represents approximately 9% of these areas. In addition to the target, three hypermarkets under the Carrefour brand are present in this area. The cumulative market share of the parties thus reaches nearly 40%.</w:t>
      </w:r>
    </w:p>
    <w:p>
      <w:r>
        <w:t>17. In the considered catchment area, the Carrefour group will nevertheless face competition from competing hypermarkets operated under the brands of the Leclerc groups (20% of the areas), Cora/Match (26%), Intermarché (6.5%), and Casino (6.5%).</w:t>
      </w:r>
    </w:p>
    <w:p>
      <w:r>
        <w:t>18. The market comprising all supermarkets and equivalent forms of commerce located within a 15-minute drive around the target store represents a commercial sales area of more than 26,000 m². The target store will represent approximately 15% of the sales areas in this zone.</w:t>
      </w:r>
    </w:p>
    <w:p>
      <w:r>
        <w:t>19. The operation overlaps with other stores owned by the Carrefour group to the extent that the Dia-branded stores located in this area are taken into account, which are subject to exclusive control by the Carrefour group as part of a notified operation on September 25, 2014, currently under review by the Competition Authority. Taking these stores into account, Carrefour would represent approximately 22.5% of the sales areas in the catchment area following the operation. Furthermore, Carrefour will face competition in this area from stores operated under the brands of the Cora/Match groups (42% of the areas), Casino (14%), Intermarché (8%), and Lidl (6%).</w:t>
      </w:r>
    </w:p>
    <w:p>
      <w:r>
        <w:t>20. In light of these elements, the operation is not likely to harm competition in the catchment areas defined around the target store.</w:t>
      </w:r>
    </w:p>
    <w:p>
      <w:r>
        <w:t>B. UPSTREAM SUPPLY MARKET</w:t>
      </w:r>
    </w:p>
    <w:p>
      <w:r>
        <w:t>21. Regarding the upstream supply markets, it should be noted that the operation is limited to a store that represents only a marginal part of the turnover generated by the Carrefour group in France. The acquisition of exclusive control over the companies Prasdel and Dorel is therefore not likely to significantly strengthen the purchasing power of the Carrefour group, across all products as well as by major product groups.</w:t>
      </w:r>
    </w:p>
    <w:p>
      <w:r>
        <w:t>22. Consequently, the operation is not likely to harm competition both in the downstream market and in the upstream market for distribution.</w:t>
      </w:r>
    </w:p>
    <w:p>
      <w:r>
        <w:t>DECIDES</w:t>
      </w:r>
    </w:p>
    <w:p>
      <w:r>
        <w:t>Single Article: The notified operation under number 14-197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